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4AD3224" w:rsidRDefault="7801D6AB" w14:paraId="5796F0DA" w14:textId="123EFB61">
      <w:pPr>
        <w:suppressLineNumbers w:val="1"/>
        <w:jc w:val="center"/>
        <w:rPr>
          <w:rFonts w:ascii="Arial" w:hAnsi="Arial" w:eastAsia="Arial" w:cs="Arial"/>
        </w:rPr>
      </w:pPr>
      <w:r w:rsidRPr="028B3FFC" w:rsidR="7801D6AB">
        <w:rPr>
          <w:rFonts w:ascii="Arial" w:hAnsi="Arial" w:eastAsia="Arial" w:cs="Arial"/>
        </w:rPr>
        <w:t>Bill # 7</w:t>
      </w:r>
      <w:r w:rsidRPr="028B3FFC" w:rsidR="200D01B9">
        <w:rPr>
          <w:rFonts w:ascii="Arial" w:hAnsi="Arial" w:eastAsia="Arial" w:cs="Arial"/>
        </w:rPr>
        <w:t>3</w:t>
      </w:r>
      <w:r w:rsidRPr="028B3FFC" w:rsidR="034E7EAE">
        <w:rPr>
          <w:rFonts w:ascii="Arial" w:hAnsi="Arial" w:eastAsia="Arial" w:cs="Arial"/>
        </w:rPr>
        <w:t>-30</w:t>
      </w:r>
    </w:p>
    <w:p w:rsidRPr="00103A55" w:rsidR="000D0156" w:rsidP="34AD3224" w:rsidRDefault="000D0156" w14:paraId="54A2B688" w14:textId="77777777">
      <w:pPr>
        <w:suppressLineNumbers/>
        <w:jc w:val="center"/>
        <w:rPr>
          <w:rFonts w:ascii="Arial" w:hAnsi="Arial" w:eastAsia="Arial" w:cs="Arial"/>
          <w:b/>
          <w:bCs/>
          <w:sz w:val="34"/>
          <w:szCs w:val="34"/>
        </w:rPr>
      </w:pPr>
      <w:r w:rsidRPr="34AD3224">
        <w:rPr>
          <w:rFonts w:ascii="Arial" w:hAnsi="Arial" w:eastAsia="Arial" w:cs="Arial"/>
          <w:b/>
          <w:bCs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/>
          <w:bCs/>
          <w:sz w:val="34"/>
          <w:szCs w:val="34"/>
        </w:rPr>
        <w:t>Graduate and Professional Student Association (GPSA</w:t>
      </w:r>
      <w:r w:rsidRPr="34AD3224">
        <w:rPr>
          <w:rFonts w:ascii="Arial" w:hAnsi="Arial" w:eastAsia="Arial" w:cs="Arial"/>
          <w:b/>
          <w:bCs/>
          <w:sz w:val="34"/>
          <w:szCs w:val="34"/>
        </w:rPr>
        <w:t>)</w:t>
      </w:r>
    </w:p>
    <w:p w:rsidRPr="00103A55" w:rsidR="000D0156" w:rsidP="34AD3224" w:rsidRDefault="000D0156" w14:paraId="0141695C" w14:textId="77777777">
      <w:pPr>
        <w:suppressLineNumbers/>
        <w:jc w:val="center"/>
        <w:rPr>
          <w:rFonts w:ascii="Arial" w:hAnsi="Arial" w:eastAsia="Arial" w:cs="Arial"/>
          <w:b/>
          <w:bCs/>
          <w:sz w:val="30"/>
          <w:szCs w:val="30"/>
        </w:rPr>
      </w:pPr>
      <w:r w:rsidRPr="34AD3224">
        <w:rPr>
          <w:rFonts w:ascii="Arial" w:hAnsi="Arial" w:eastAsia="Arial" w:cs="Arial"/>
          <w:b/>
          <w:bCs/>
          <w:sz w:val="30"/>
          <w:szCs w:val="30"/>
        </w:rPr>
        <w:t>The Pennsylvania State University</w:t>
      </w:r>
    </w:p>
    <w:p w:rsidRPr="00103A55" w:rsidR="009D0F1E" w:rsidP="34AD3224" w:rsidRDefault="009D0F1E" w14:paraId="45739BC1" w14:textId="77777777">
      <w:pPr>
        <w:suppressLineNumbers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9D0F1E" w:rsidP="34AD3224" w:rsidRDefault="009D0F1E" w14:paraId="7F2B10D4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40175076" wp14:editId="59768BD1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323198E4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Pr="005B5D41" w:rsidR="000D0156" w:rsidP="34AD3224" w:rsidRDefault="7801D6AB" w14:paraId="33C330AE" w14:textId="77777777">
      <w:pPr>
        <w:suppressLineNumbers/>
        <w:jc w:val="center"/>
        <w:rPr>
          <w:rFonts w:ascii="Arial" w:hAnsi="Arial" w:eastAsia="Arial" w:cs="Arial"/>
          <w:b/>
          <w:bCs/>
        </w:rPr>
      </w:pPr>
      <w:r w:rsidRPr="0852F948">
        <w:rPr>
          <w:rFonts w:ascii="Arial" w:hAnsi="Arial" w:eastAsia="Arial" w:cs="Arial"/>
          <w:b/>
          <w:bCs/>
        </w:rPr>
        <w:t>of the 7</w:t>
      </w:r>
      <w:r w:rsidRPr="0852F948" w:rsidR="44836629">
        <w:rPr>
          <w:rFonts w:ascii="Arial" w:hAnsi="Arial" w:eastAsia="Arial" w:cs="Arial"/>
          <w:b/>
          <w:bCs/>
        </w:rPr>
        <w:t>3rd</w:t>
      </w:r>
      <w:r w:rsidRPr="0852F948">
        <w:rPr>
          <w:rFonts w:ascii="Arial" w:hAnsi="Arial" w:eastAsia="Arial" w:cs="Arial"/>
          <w:b/>
          <w:bCs/>
        </w:rPr>
        <w:t xml:space="preserve"> Assembly</w:t>
      </w:r>
    </w:p>
    <w:p w:rsidRPr="00761EB4" w:rsidR="000D0156" w:rsidP="34AD3224" w:rsidRDefault="009214C5" w14:paraId="622F527C" w14:textId="00456737">
      <w:pPr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February </w:t>
      </w:r>
      <w:r w:rsidR="000D2A5A">
        <w:rPr>
          <w:rFonts w:ascii="Arial" w:hAnsi="Arial" w:eastAsia="Arial" w:cs="Arial"/>
        </w:rPr>
        <w:t>21</w:t>
      </w:r>
      <w:r>
        <w:rPr>
          <w:rFonts w:ascii="Arial" w:hAnsi="Arial" w:eastAsia="Arial" w:cs="Arial"/>
        </w:rPr>
        <w:t>, 2024</w:t>
      </w:r>
    </w:p>
    <w:p w:rsidRPr="00AC47AD" w:rsidR="000D0156" w:rsidP="34AD3224" w:rsidRDefault="000D0156" w14:paraId="4C7C3FA1" w14:textId="77777777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5A1E27F" w14:textId="77777777">
      <w:pPr>
        <w:suppressLineNumbers/>
        <w:jc w:val="center"/>
        <w:rPr>
          <w:rFonts w:ascii="Arial" w:hAnsi="Arial" w:eastAsia="Arial" w:cs="Arial"/>
          <w:i/>
          <w:iCs/>
        </w:rPr>
      </w:pPr>
      <w:r w:rsidRPr="34AD3224">
        <w:rPr>
          <w:rFonts w:ascii="Arial" w:hAnsi="Arial" w:eastAsia="Arial" w:cs="Arial"/>
          <w:i/>
          <w:iCs/>
        </w:rPr>
        <w:t>Be it decide</w:t>
      </w:r>
      <w:r w:rsidRPr="34AD3224" w:rsidR="00F074BA">
        <w:rPr>
          <w:rFonts w:ascii="Arial" w:hAnsi="Arial" w:eastAsia="Arial" w:cs="Arial"/>
          <w:i/>
          <w:iCs/>
        </w:rPr>
        <w:t>d by the Assembly</w:t>
      </w:r>
      <w:r w:rsidRPr="34AD3224" w:rsidR="007F5927">
        <w:rPr>
          <w:rFonts w:ascii="Arial" w:hAnsi="Arial" w:eastAsia="Arial" w:cs="Arial"/>
          <w:i/>
          <w:iCs/>
        </w:rPr>
        <w:t xml:space="preserve"> of Elected Delegates</w:t>
      </w:r>
      <w:r w:rsidRPr="34AD3224" w:rsidR="00F074BA">
        <w:rPr>
          <w:rFonts w:ascii="Arial" w:hAnsi="Arial" w:eastAsia="Arial" w:cs="Arial"/>
          <w:i/>
          <w:iCs/>
        </w:rPr>
        <w:t xml:space="preserve">, </w:t>
      </w:r>
    </w:p>
    <w:p w:rsidRPr="00AC47AD" w:rsidR="000D0156" w:rsidP="34AD3224" w:rsidRDefault="000D0156" w14:paraId="3E7B0844" w14:textId="77777777">
      <w:pPr>
        <w:suppressLineNumbers/>
        <w:jc w:val="center"/>
        <w:rPr>
          <w:rFonts w:ascii="Arial" w:hAnsi="Arial" w:eastAsia="Arial" w:cs="Arial"/>
          <w:i/>
          <w:iCs/>
          <w:color w:val="000000" w:themeColor="text1"/>
        </w:rPr>
      </w:pPr>
    </w:p>
    <w:p w:rsidRPr="009214C5" w:rsidR="000D0156" w:rsidP="34AD3224" w:rsidRDefault="00A561AF" w14:paraId="10F8E249" w14:textId="06E7B42D">
      <w:pPr>
        <w:suppressLineNumbers/>
        <w:jc w:val="center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ascii="Arial" w:hAnsi="Arial" w:eastAsia="Arial" w:cs="Arial"/>
          <w:b/>
          <w:bCs/>
          <w:sz w:val="26"/>
          <w:szCs w:val="26"/>
        </w:rPr>
        <w:t>Immigration Law Networking Panel</w:t>
      </w:r>
    </w:p>
    <w:p w:rsidRPr="00761EB4" w:rsidR="000D0156" w:rsidP="34AD3224" w:rsidRDefault="009214C5" w14:paraId="370DCC3C" w14:textId="60E0C472">
      <w:pPr>
        <w:suppressLineNumbers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Funding for </w:t>
      </w:r>
      <w:r w:rsidR="00A561AF">
        <w:rPr>
          <w:rFonts w:ascii="Arial" w:hAnsi="Arial" w:eastAsia="Arial" w:cs="Arial"/>
          <w:b/>
          <w:bCs/>
        </w:rPr>
        <w:t>Second Annual Immigration Law Society Networking Panel</w:t>
      </w:r>
    </w:p>
    <w:p w:rsidRPr="00761EB4" w:rsidR="000D0156" w:rsidP="34AD3224" w:rsidRDefault="000D0156" w14:paraId="2760D8BD" w14:textId="6FCC3FB9">
      <w:pPr>
        <w:suppressLineNumbers w:val="1"/>
        <w:jc w:val="center"/>
        <w:rPr>
          <w:rFonts w:ascii="Arial" w:hAnsi="Arial" w:eastAsia="Arial" w:cs="Arial"/>
        </w:rPr>
      </w:pPr>
      <w:r w:rsidRPr="54C5255C" w:rsidR="000D0156">
        <w:rPr>
          <w:rFonts w:ascii="Arial" w:hAnsi="Arial" w:eastAsia="Arial" w:cs="Arial"/>
        </w:rPr>
        <w:t>(Decided: [ Y</w:t>
      </w:r>
      <w:r w:rsidRPr="54C5255C" w:rsidR="000D0156">
        <w:rPr>
          <w:rFonts w:ascii="Arial" w:hAnsi="Arial" w:eastAsia="Arial" w:cs="Arial"/>
        </w:rPr>
        <w:t>]</w:t>
      </w:r>
      <w:r w:rsidRPr="54C5255C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49679450" w14:textId="77777777">
      <w:pPr>
        <w:suppressLineNumbers/>
        <w:rPr>
          <w:rFonts w:ascii="Arial" w:hAnsi="Arial" w:eastAsia="Arial" w:cs="Arial"/>
          <w:b/>
          <w:bCs/>
        </w:rPr>
      </w:pPr>
    </w:p>
    <w:p w:rsidRPr="00761EB4" w:rsidR="000D0156" w:rsidP="34AD3224" w:rsidRDefault="000D0156" w14:paraId="25B1B01C" w14:textId="77777777">
      <w:pPr>
        <w:jc w:val="both"/>
        <w:rPr>
          <w:rFonts w:ascii="Arial" w:hAnsi="Arial" w:eastAsia="Arial" w:cs="Arial"/>
          <w:b/>
          <w:bCs/>
        </w:rPr>
      </w:pPr>
      <w:r w:rsidRPr="34AD3224">
        <w:rPr>
          <w:rFonts w:ascii="Arial" w:hAnsi="Arial" w:eastAsia="Arial" w:cs="Arial"/>
          <w:b/>
          <w:bCs/>
        </w:rPr>
        <w:t>Nature of the Situation:</w:t>
      </w:r>
    </w:p>
    <w:p w:rsidRPr="00761EB4" w:rsidR="000D0156" w:rsidP="34AD3224" w:rsidRDefault="000D0156" w14:paraId="2CBDDCFE" w14:textId="77777777">
      <w:pPr>
        <w:jc w:val="both"/>
        <w:rPr>
          <w:rFonts w:ascii="Arial" w:hAnsi="Arial" w:eastAsia="Arial" w:cs="Arial"/>
        </w:rPr>
      </w:pPr>
    </w:p>
    <w:p w:rsidR="00A561AF" w:rsidP="00A561AF" w:rsidRDefault="009214C5" w14:paraId="540AF3F6" w14:textId="77777777">
      <w:pPr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Part of the GPSA’s mission is to provide programming events to enrich graduate student life at Penn State. </w:t>
      </w:r>
      <w:r w:rsidRPr="00A561AF" w:rsidR="00A561AF">
        <w:rPr>
          <w:rFonts w:ascii="Arial" w:hAnsi="Arial" w:eastAsia="Arial" w:cs="Arial"/>
        </w:rPr>
        <w:t xml:space="preserve">The Immigration Law Society at Penn State Law is hosting its premier networking event with immigration law professionals who </w:t>
      </w:r>
      <w:r w:rsidR="00A561AF">
        <w:rPr>
          <w:rFonts w:ascii="Arial" w:hAnsi="Arial" w:eastAsia="Arial" w:cs="Arial"/>
        </w:rPr>
        <w:t>will</w:t>
      </w:r>
      <w:r w:rsidRPr="00A561AF" w:rsidR="00A561AF">
        <w:rPr>
          <w:rFonts w:ascii="Arial" w:hAnsi="Arial" w:eastAsia="Arial" w:cs="Arial"/>
        </w:rPr>
        <w:t xml:space="preserve"> be speaking with students interested in immigration law. Currently, we have on the panel 4 speakers, 2 of which (Prof. Veronica Thronson and Prof. Jacob Schuman) are based in State College, </w:t>
      </w:r>
      <w:r w:rsidR="00A561AF">
        <w:rPr>
          <w:rFonts w:ascii="Arial" w:hAnsi="Arial" w:eastAsia="Arial" w:cs="Arial"/>
        </w:rPr>
        <w:t>with 2</w:t>
      </w:r>
      <w:r w:rsidRPr="00A561AF" w:rsidR="00A561AF">
        <w:rPr>
          <w:rFonts w:ascii="Arial" w:hAnsi="Arial" w:eastAsia="Arial" w:cs="Arial"/>
        </w:rPr>
        <w:t xml:space="preserve"> immigration professionals coming to State College from out of town</w:t>
      </w:r>
      <w:r w:rsidR="00A561AF">
        <w:rPr>
          <w:rFonts w:ascii="Arial" w:hAnsi="Arial" w:eastAsia="Arial" w:cs="Arial"/>
        </w:rPr>
        <w:t xml:space="preserve">, </w:t>
      </w:r>
      <w:r w:rsidRPr="00A561AF" w:rsidR="00A561AF">
        <w:rPr>
          <w:rFonts w:ascii="Arial" w:hAnsi="Arial" w:eastAsia="Arial" w:cs="Arial"/>
        </w:rPr>
        <w:t>includ</w:t>
      </w:r>
      <w:r w:rsidR="00A561AF">
        <w:rPr>
          <w:rFonts w:ascii="Arial" w:hAnsi="Arial" w:eastAsia="Arial" w:cs="Arial"/>
        </w:rPr>
        <w:t>ing</w:t>
      </w:r>
      <w:r w:rsidRPr="00A561AF" w:rsidR="00A561AF">
        <w:rPr>
          <w:rFonts w:ascii="Arial" w:hAnsi="Arial" w:eastAsia="Arial" w:cs="Arial"/>
        </w:rPr>
        <w:t xml:space="preserve"> Daniel Hartzman </w:t>
      </w:r>
      <w:r w:rsidR="00A561AF">
        <w:rPr>
          <w:rFonts w:ascii="Arial" w:hAnsi="Arial" w:eastAsia="Arial" w:cs="Arial"/>
        </w:rPr>
        <w:t>(</w:t>
      </w:r>
      <w:r w:rsidRPr="00A561AF" w:rsidR="00A561AF">
        <w:rPr>
          <w:rFonts w:ascii="Arial" w:hAnsi="Arial" w:eastAsia="Arial" w:cs="Arial"/>
        </w:rPr>
        <w:t>a family and humanitarian immigration lawyer coming from Pittsburgh</w:t>
      </w:r>
      <w:r w:rsidR="00A561AF">
        <w:rPr>
          <w:rFonts w:ascii="Arial" w:hAnsi="Arial" w:eastAsia="Arial" w:cs="Arial"/>
        </w:rPr>
        <w:t>)</w:t>
      </w:r>
      <w:r w:rsidRPr="00A561AF" w:rsidR="00A561AF">
        <w:rPr>
          <w:rFonts w:ascii="Arial" w:hAnsi="Arial" w:eastAsia="Arial" w:cs="Arial"/>
        </w:rPr>
        <w:t>, and</w:t>
      </w:r>
      <w:r w:rsidR="00A561AF">
        <w:rPr>
          <w:rFonts w:ascii="Arial" w:hAnsi="Arial" w:eastAsia="Arial" w:cs="Arial"/>
        </w:rPr>
        <w:t xml:space="preserve"> </w:t>
      </w:r>
      <w:r w:rsidRPr="00A561AF" w:rsidR="00A561AF">
        <w:rPr>
          <w:rFonts w:ascii="Arial" w:hAnsi="Arial" w:eastAsia="Arial" w:cs="Arial"/>
        </w:rPr>
        <w:t xml:space="preserve">Adam Boyd </w:t>
      </w:r>
      <w:r w:rsidR="00A561AF">
        <w:rPr>
          <w:rFonts w:ascii="Arial" w:hAnsi="Arial" w:eastAsia="Arial" w:cs="Arial"/>
        </w:rPr>
        <w:t>(an attorney within the Immigration Law and Practice Division of</w:t>
      </w:r>
      <w:r w:rsidRPr="00A561AF" w:rsidR="00A561AF">
        <w:rPr>
          <w:rFonts w:ascii="Arial" w:hAnsi="Arial" w:eastAsia="Arial" w:cs="Arial"/>
        </w:rPr>
        <w:t xml:space="preserve"> the Department of Homeland Security</w:t>
      </w:r>
      <w:r w:rsidR="00A561AF">
        <w:rPr>
          <w:rFonts w:ascii="Arial" w:hAnsi="Arial" w:eastAsia="Arial" w:cs="Arial"/>
        </w:rPr>
        <w:t xml:space="preserve">, </w:t>
      </w:r>
      <w:r w:rsidRPr="00A561AF" w:rsidR="00A561AF">
        <w:rPr>
          <w:rFonts w:ascii="Arial" w:hAnsi="Arial" w:eastAsia="Arial" w:cs="Arial"/>
        </w:rPr>
        <w:t>coming from Washingto</w:t>
      </w:r>
      <w:r w:rsidR="00A561AF">
        <w:rPr>
          <w:rFonts w:ascii="Arial" w:hAnsi="Arial" w:eastAsia="Arial" w:cs="Arial"/>
        </w:rPr>
        <w:t>n, D.C.)</w:t>
      </w:r>
      <w:r w:rsidRPr="00A561AF" w:rsidR="00A561AF">
        <w:rPr>
          <w:rFonts w:ascii="Arial" w:hAnsi="Arial" w:eastAsia="Arial" w:cs="Arial"/>
        </w:rPr>
        <w:t xml:space="preserve">. </w:t>
      </w:r>
    </w:p>
    <w:p w:rsidR="00A561AF" w:rsidP="00A561AF" w:rsidRDefault="00A561AF" w14:paraId="47F468FB" w14:textId="77777777">
      <w:pPr>
        <w:jc w:val="both"/>
        <w:rPr>
          <w:rFonts w:ascii="Arial" w:hAnsi="Arial" w:eastAsia="Arial" w:cs="Arial"/>
        </w:rPr>
      </w:pPr>
    </w:p>
    <w:p w:rsidRPr="00A561AF" w:rsidR="00A561AF" w:rsidP="00A561AF" w:rsidRDefault="00A561AF" w14:paraId="2B3BC5B5" w14:textId="44015DF7">
      <w:pPr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>The Immigration Law Society is</w:t>
      </w:r>
      <w:r w:rsidRPr="00A561AF">
        <w:rPr>
          <w:rFonts w:ascii="Arial" w:hAnsi="Arial" w:eastAsia="Arial" w:cs="Arial"/>
        </w:rPr>
        <w:t xml:space="preserve"> seeking</w:t>
      </w:r>
      <w:r>
        <w:rPr>
          <w:rFonts w:ascii="Arial" w:hAnsi="Arial" w:eastAsia="Arial" w:cs="Arial"/>
        </w:rPr>
        <w:t xml:space="preserve"> $</w:t>
      </w:r>
      <w:r w:rsidR="00446085">
        <w:rPr>
          <w:rFonts w:ascii="Arial" w:hAnsi="Arial" w:eastAsia="Arial" w:cs="Arial"/>
        </w:rPr>
        <w:t>534</w:t>
      </w:r>
      <w:r w:rsidRPr="00A561AF">
        <w:rPr>
          <w:rFonts w:ascii="Arial" w:hAnsi="Arial" w:eastAsia="Arial" w:cs="Arial"/>
        </w:rPr>
        <w:t xml:space="preserve"> to help cover the </w:t>
      </w:r>
      <w:r w:rsidR="00446085">
        <w:rPr>
          <w:rFonts w:ascii="Arial" w:hAnsi="Arial" w:eastAsia="Arial" w:cs="Arial"/>
        </w:rPr>
        <w:t>travel</w:t>
      </w:r>
      <w:r w:rsidRPr="00A561AF">
        <w:rPr>
          <w:rFonts w:ascii="Arial" w:hAnsi="Arial" w:eastAsia="Arial" w:cs="Arial"/>
        </w:rPr>
        <w:t xml:space="preserve"> costs of the </w:t>
      </w:r>
      <w:r>
        <w:rPr>
          <w:rFonts w:ascii="Arial" w:hAnsi="Arial" w:eastAsia="Arial" w:cs="Arial"/>
        </w:rPr>
        <w:t>out-of-town</w:t>
      </w:r>
      <w:r w:rsidRPr="00A561AF">
        <w:rPr>
          <w:rFonts w:ascii="Arial" w:hAnsi="Arial" w:eastAsia="Arial" w:cs="Arial"/>
        </w:rPr>
        <w:t xml:space="preserve"> guests. This even</w:t>
      </w:r>
      <w:r>
        <w:rPr>
          <w:rFonts w:ascii="Arial" w:hAnsi="Arial" w:eastAsia="Arial" w:cs="Arial"/>
        </w:rPr>
        <w:t>t</w:t>
      </w:r>
      <w:r w:rsidRPr="00A561AF">
        <w:rPr>
          <w:rFonts w:ascii="Arial" w:hAnsi="Arial" w:eastAsia="Arial" w:cs="Arial"/>
        </w:rPr>
        <w:t xml:space="preserve"> would give the </w:t>
      </w:r>
      <w:r>
        <w:rPr>
          <w:rFonts w:ascii="Arial" w:hAnsi="Arial" w:eastAsia="Arial" w:cs="Arial"/>
        </w:rPr>
        <w:t>grad</w:t>
      </w:r>
      <w:r w:rsidRPr="00A561AF">
        <w:rPr>
          <w:rFonts w:ascii="Arial" w:hAnsi="Arial" w:eastAsia="Arial" w:cs="Arial"/>
        </w:rPr>
        <w:t xml:space="preserve"> school students interested in immigration law the unique opportunity to interact with successful immigration law professionals working at top organizations/law firms around the</w:t>
      </w:r>
      <w:r>
        <w:rPr>
          <w:rFonts w:ascii="Arial" w:hAnsi="Arial" w:eastAsia="Arial" w:cs="Arial"/>
        </w:rPr>
        <w:t xml:space="preserve"> East Coast</w:t>
      </w:r>
      <w:r w:rsidRPr="00A561AF">
        <w:rPr>
          <w:rFonts w:ascii="Arial" w:hAnsi="Arial" w:eastAsia="Arial" w:cs="Arial"/>
        </w:rPr>
        <w:t>.</w:t>
      </w:r>
    </w:p>
    <w:p w:rsidR="00A561AF" w:rsidP="34AD3224" w:rsidRDefault="00A561AF" w14:paraId="060A3998" w14:textId="77777777">
      <w:pPr>
        <w:jc w:val="both"/>
        <w:rPr>
          <w:rFonts w:ascii="Arial" w:hAnsi="Arial" w:eastAsia="Arial" w:cs="Arial"/>
        </w:rPr>
      </w:pPr>
    </w:p>
    <w:p w:rsidRPr="00761EB4" w:rsidR="00B54791" w:rsidP="34AD3224" w:rsidRDefault="00B54791" w14:paraId="2997F789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0D0156" w14:paraId="46000442" w14:textId="77777777">
      <w:pPr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3F72D905">
        <w:rPr>
          <w:rFonts w:ascii="Arial" w:hAnsi="Arial" w:eastAsia="Arial" w:cs="Arial"/>
          <w:b/>
          <w:bCs/>
          <w:color w:val="000000" w:themeColor="text1"/>
        </w:rPr>
        <w:t>Recommended Course of Action:</w:t>
      </w:r>
    </w:p>
    <w:p w:rsidR="3F72D905" w:rsidP="3F72D905" w:rsidRDefault="3F72D905" w14:paraId="09B02861" w14:textId="77777777">
      <w:pPr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07F5927" w:rsidP="34AD3224" w:rsidRDefault="007F5927" w14:paraId="4609C0E5" w14:textId="0424DDE6">
      <w:pPr>
        <w:jc w:val="both"/>
        <w:rPr>
          <w:rFonts w:ascii="Arial" w:hAnsi="Arial" w:eastAsia="Arial" w:cs="Arial"/>
          <w:color w:val="000000" w:themeColor="text1"/>
        </w:rPr>
      </w:pPr>
      <w:r w:rsidRPr="028B3FFC" w:rsidR="007F5927">
        <w:rPr>
          <w:rFonts w:ascii="Arial" w:hAnsi="Arial" w:eastAsia="Arial" w:cs="Arial"/>
          <w:color w:val="000000" w:themeColor="text1" w:themeTint="FF" w:themeShade="FF"/>
        </w:rPr>
        <w:t xml:space="preserve">The Graduate and Professional Student Association authorizes the programming committee to purchase the following items for </w:t>
      </w:r>
      <w:r w:rsidRPr="028B3FFC" w:rsidR="009214C5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028B3FFC" w:rsidR="00A561AF">
        <w:rPr>
          <w:rFonts w:ascii="Arial" w:hAnsi="Arial" w:eastAsia="Arial" w:cs="Arial"/>
          <w:color w:val="000000" w:themeColor="text1" w:themeTint="FF" w:themeShade="FF"/>
        </w:rPr>
        <w:t>Immigration Law Networking Panel</w:t>
      </w:r>
      <w:r w:rsidRPr="028B3FFC" w:rsidR="009214C5">
        <w:rPr>
          <w:rFonts w:ascii="Arial" w:hAnsi="Arial" w:eastAsia="Arial" w:cs="Arial"/>
          <w:color w:val="000000" w:themeColor="text1" w:themeTint="FF" w:themeShade="FF"/>
        </w:rPr>
        <w:t xml:space="preserve"> on </w:t>
      </w:r>
      <w:r w:rsidRPr="028B3FFC" w:rsidR="00A561AF">
        <w:rPr>
          <w:rFonts w:ascii="Arial" w:hAnsi="Arial" w:eastAsia="Arial" w:cs="Arial"/>
          <w:color w:val="000000" w:themeColor="text1" w:themeTint="FF" w:themeShade="FF"/>
        </w:rPr>
        <w:t>March 23</w:t>
      </w:r>
      <w:r w:rsidRPr="028B3FFC" w:rsidR="009214C5">
        <w:rPr>
          <w:rFonts w:ascii="Arial" w:hAnsi="Arial" w:eastAsia="Arial" w:cs="Arial"/>
          <w:color w:val="000000" w:themeColor="text1" w:themeTint="FF" w:themeShade="FF"/>
        </w:rPr>
        <w:t>, 2024:</w:t>
      </w:r>
    </w:p>
    <w:p w:rsidR="7C758E8F" w:rsidP="028B3FFC" w:rsidRDefault="7C758E8F" w14:paraId="124B4D98" w14:textId="5F7E07F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</w:pPr>
      <w:r w:rsidRPr="028B3FFC" w:rsidR="7C758E8F">
        <w:rPr>
          <w:rFonts w:ascii="Arial" w:hAnsi="Arial" w:eastAsia="Arial" w:cs="Arial"/>
          <w:color w:val="000000" w:themeColor="text1" w:themeTint="FF" w:themeShade="FF"/>
        </w:rPr>
        <w:t>Food: $400</w:t>
      </w:r>
    </w:p>
    <w:p w:rsidRPr="00446085" w:rsidR="00A561AF" w:rsidP="34AD3224" w:rsidRDefault="000D2A5A" w14:paraId="0BEFF146" w14:textId="6A64522D">
      <w:pPr>
        <w:jc w:val="both"/>
        <w:rPr>
          <w:rFonts w:ascii="Arial" w:hAnsi="Arial" w:eastAsia="Arial" w:cs="Arial"/>
          <w:i/>
          <w:iCs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Venue for networking social</w:t>
      </w:r>
      <w:r w:rsidR="00A561AF">
        <w:rPr>
          <w:rFonts w:ascii="Arial" w:hAnsi="Arial" w:eastAsia="Arial" w:cs="Arial"/>
          <w:color w:val="000000" w:themeColor="text1"/>
        </w:rPr>
        <w:t xml:space="preserve">: </w:t>
      </w:r>
      <w:r>
        <w:rPr>
          <w:rFonts w:ascii="Arial" w:hAnsi="Arial" w:eastAsia="Arial" w:cs="Arial"/>
          <w:color w:val="000000" w:themeColor="text1"/>
        </w:rPr>
        <w:t xml:space="preserve">anticipated </w:t>
      </w:r>
      <w:proofErr w:type="gramStart"/>
      <w:r>
        <w:rPr>
          <w:rFonts w:ascii="Arial" w:hAnsi="Arial" w:eastAsia="Arial" w:cs="Arial"/>
          <w:color w:val="000000" w:themeColor="text1"/>
        </w:rPr>
        <w:t>$600</w:t>
      </w:r>
      <w:proofErr w:type="gramEnd"/>
    </w:p>
    <w:p w:rsidR="00A561AF" w:rsidP="34AD3224" w:rsidRDefault="00A561AF" w14:paraId="0CC73BF4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A561AF" w:rsidR="00A561AF" w:rsidP="028B3FFC" w:rsidRDefault="00A561AF" w14:paraId="567768A3" w14:textId="642DE0E0">
      <w:pPr>
        <w:jc w:val="both"/>
        <w:rPr>
          <w:rFonts w:ascii="Arial" w:hAnsi="Arial" w:eastAsia="Arial" w:cs="Arial"/>
          <w:b w:val="1"/>
          <w:bCs w:val="1"/>
          <w:color w:val="000000" w:themeColor="text1"/>
          <w:u w:val="single"/>
        </w:rPr>
      </w:pPr>
      <w:r w:rsidRPr="028B3FFC" w:rsidR="00A561A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Amount Requested: </w:t>
      </w:r>
      <w:r w:rsidRPr="028B3FFC" w:rsidR="00A561AF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$</w:t>
      </w:r>
      <w:r w:rsidRPr="028B3FFC" w:rsidR="71A19BED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6</w:t>
      </w:r>
      <w:r w:rsidRPr="028B3FFC" w:rsidR="1F0171D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00</w:t>
      </w:r>
      <w:r w:rsidRPr="028B3FFC" w:rsidR="000D2A5A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 </w:t>
      </w:r>
    </w:p>
    <w:p w:rsidRPr="00761EB4" w:rsidR="007F5927" w:rsidP="34AD3224" w:rsidRDefault="007F5927" w14:paraId="04CE6107" w14:textId="77777777">
      <w:pPr>
        <w:tabs>
          <w:tab w:val="left" w:pos="2320"/>
        </w:tabs>
        <w:jc w:val="both"/>
        <w:rPr>
          <w:rFonts w:ascii="Arial" w:hAnsi="Arial" w:eastAsia="Arial" w:cs="Arial"/>
          <w:color w:val="000000" w:themeColor="text1"/>
        </w:rPr>
      </w:pPr>
      <w:r w:rsidRPr="00761EB4">
        <w:rPr>
          <w:rFonts w:asciiTheme="majorHAnsi" w:hAnsiTheme="majorHAnsi" w:cstheme="majorHAnsi"/>
          <w:color w:val="000000" w:themeColor="text1"/>
          <w:szCs w:val="22"/>
        </w:rPr>
        <w:tab/>
      </w:r>
    </w:p>
    <w:p w:rsidRPr="00761EB4" w:rsidR="007F5927" w:rsidP="34AD3224" w:rsidRDefault="007F5927" w14:paraId="7C6CF5F9" w14:textId="77777777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7B2546A4" w14:textId="77777777">
      <w:pPr>
        <w:suppressLineNumbers/>
        <w:rPr>
          <w:rFonts w:ascii="Arial" w:hAnsi="Arial" w:eastAsia="Arial" w:cs="Arial"/>
        </w:rPr>
      </w:pPr>
      <w:r w:rsidRPr="34AD3224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0140513" w14:textId="77777777">
      <w:pPr>
        <w:suppressLineNumbers/>
        <w:rPr>
          <w:rFonts w:ascii="Arial" w:hAnsi="Arial" w:eastAsia="Arial" w:cs="Arial"/>
          <w:b/>
          <w:bCs/>
        </w:rPr>
        <w:sectPr w:rsidRPr="00761EB4" w:rsidR="000D0156" w:rsidSect="005B4BF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Pr="00761EB4" w:rsidR="007F5927" w:rsidP="007F5927" w:rsidRDefault="007F5927" w14:paraId="7B13A1B6" w14:textId="77777777">
      <w:pPr>
        <w:suppressLineNumbers/>
        <w:rPr>
          <w:rFonts w:asciiTheme="majorHAnsi" w:hAnsiTheme="majorHAnsi" w:cstheme="majorHAnsi"/>
          <w:szCs w:val="22"/>
        </w:rPr>
      </w:pPr>
    </w:p>
    <w:p w:rsidRPr="00761EB4" w:rsidR="7801D6AB" w:rsidP="7801D6AB" w:rsidRDefault="009214C5" w14:paraId="3B2FADF7" w14:textId="77777777">
      <w:pPr>
        <w:spacing w:line="259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Kristin Hommel</w:t>
      </w:r>
    </w:p>
    <w:p w:rsidRPr="006531DB" w:rsidR="7801D6AB" w:rsidP="7801D6AB" w:rsidRDefault="7801D6AB" w14:paraId="2F31B778" w14:textId="77777777">
      <w:pPr>
        <w:spacing w:line="259" w:lineRule="auto"/>
        <w:rPr>
          <w:rFonts w:asciiTheme="majorHAnsi" w:hAnsiTheme="majorHAnsi" w:cstheme="majorHAnsi"/>
          <w:szCs w:val="22"/>
        </w:rPr>
      </w:pPr>
      <w:r w:rsidRPr="00761EB4">
        <w:rPr>
          <w:rFonts w:asciiTheme="majorHAnsi" w:hAnsiTheme="majorHAnsi" w:cstheme="majorHAnsi"/>
          <w:szCs w:val="22"/>
        </w:rPr>
        <w:t>Delegate,</w:t>
      </w:r>
      <w:r w:rsidR="009214C5">
        <w:rPr>
          <w:rFonts w:asciiTheme="majorHAnsi" w:hAnsiTheme="majorHAnsi" w:cstheme="majorHAnsi"/>
          <w:szCs w:val="22"/>
        </w:rPr>
        <w:t xml:space="preserve"> Penn State Law</w:t>
      </w:r>
    </w:p>
    <w:p w:rsidRPr="006531DB" w:rsidR="000D0156" w:rsidP="006531DB" w:rsidRDefault="000D0156" w14:paraId="21584F29" w14:textId="77777777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53E1A632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12B19EE3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43293252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1E7C550C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22D77E5C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5B4BF0">
      <w:headerReference w:type="default" r:id="rId15"/>
      <w:headerReference w:type="first" r:id="rId16"/>
      <w:footerReference w:type="first" r:id="rId17"/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BF0" w:rsidRDefault="005B4BF0" w14:paraId="302CC6A4" w14:textId="77777777">
      <w:r>
        <w:separator/>
      </w:r>
    </w:p>
  </w:endnote>
  <w:endnote w:type="continuationSeparator" w:id="0">
    <w:p w:rsidR="005B4BF0" w:rsidRDefault="005B4BF0" w14:paraId="207292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201D8CEB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E630330" w14:textId="77777777">
      <w:trPr>
        <w:trHeight w:val="300"/>
      </w:trPr>
      <w:tc>
        <w:tcPr>
          <w:tcW w:w="3120" w:type="dxa"/>
        </w:tcPr>
        <w:p w:rsidR="75DD0FFB" w:rsidP="75DD0FFB" w:rsidRDefault="75DD0FFB" w14:paraId="45312990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A146271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4B113675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677E3C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8DF24AC" w14:textId="77777777">
      <w:trPr>
        <w:trHeight w:val="300"/>
      </w:trPr>
      <w:tc>
        <w:tcPr>
          <w:tcW w:w="3120" w:type="dxa"/>
        </w:tcPr>
        <w:p w:rsidR="75DD0FFB" w:rsidP="75DD0FFB" w:rsidRDefault="75DD0FFB" w14:paraId="16D92576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237ED4EB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53BB05ED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38EB09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BF0" w:rsidRDefault="005B4BF0" w14:paraId="096FF687" w14:textId="77777777">
      <w:r>
        <w:separator/>
      </w:r>
    </w:p>
  </w:footnote>
  <w:footnote w:type="continuationSeparator" w:id="0">
    <w:p w:rsidR="005B4BF0" w:rsidRDefault="005B4BF0" w14:paraId="744D83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3EB1BE6A" w14:textId="77777777">
      <w:trPr>
        <w:trHeight w:val="300"/>
      </w:trPr>
      <w:tc>
        <w:tcPr>
          <w:tcW w:w="3120" w:type="dxa"/>
        </w:tcPr>
        <w:p w:rsidR="75DD0FFB" w:rsidP="75DD0FFB" w:rsidRDefault="75DD0FFB" w14:paraId="5933EF04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386561F1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246B2D33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43E2CD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0112733D" w14:textId="77777777">
      <w:trPr>
        <w:trHeight w:val="300"/>
      </w:trPr>
      <w:tc>
        <w:tcPr>
          <w:tcW w:w="3120" w:type="dxa"/>
        </w:tcPr>
        <w:p w:rsidR="75DD0FFB" w:rsidP="75DD0FFB" w:rsidRDefault="75DD0FFB" w14:paraId="150B370F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6A4BE6E1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7CE53AEC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BDB963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31EEA7D" w14:textId="77777777">
      <w:trPr>
        <w:trHeight w:val="300"/>
      </w:trPr>
      <w:tc>
        <w:tcPr>
          <w:tcW w:w="3120" w:type="dxa"/>
        </w:tcPr>
        <w:p w:rsidR="75DD0FFB" w:rsidP="75DD0FFB" w:rsidRDefault="75DD0FFB" w14:paraId="3C3CE506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72AF6B8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64794AA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6416A81B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CB9C934" w14:textId="77777777">
      <w:trPr>
        <w:trHeight w:val="300"/>
      </w:trPr>
      <w:tc>
        <w:tcPr>
          <w:tcW w:w="3120" w:type="dxa"/>
        </w:tcPr>
        <w:p w:rsidR="75DD0FFB" w:rsidP="75DD0FFB" w:rsidRDefault="75DD0FFB" w14:paraId="1DDE9F87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09AAD7A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48FDD3F9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0E68BB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6482">
    <w:abstractNumId w:val="4"/>
  </w:num>
  <w:num w:numId="2" w16cid:durableId="902712640">
    <w:abstractNumId w:val="1"/>
  </w:num>
  <w:num w:numId="3" w16cid:durableId="489717123">
    <w:abstractNumId w:val="2"/>
  </w:num>
  <w:num w:numId="4" w16cid:durableId="680812141">
    <w:abstractNumId w:val="3"/>
  </w:num>
  <w:num w:numId="5" w16cid:durableId="48499741">
    <w:abstractNumId w:val="5"/>
  </w:num>
  <w:num w:numId="6" w16cid:durableId="11024587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AF"/>
    <w:rsid w:val="000006D8"/>
    <w:rsid w:val="00006A45"/>
    <w:rsid w:val="00025CD3"/>
    <w:rsid w:val="00026D2E"/>
    <w:rsid w:val="00066A8C"/>
    <w:rsid w:val="00070605"/>
    <w:rsid w:val="00091B39"/>
    <w:rsid w:val="000D0156"/>
    <w:rsid w:val="000D2A5A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46085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4BF0"/>
    <w:rsid w:val="005B5D41"/>
    <w:rsid w:val="005D36BD"/>
    <w:rsid w:val="0062321A"/>
    <w:rsid w:val="006531DB"/>
    <w:rsid w:val="006D1FCC"/>
    <w:rsid w:val="006F40D6"/>
    <w:rsid w:val="00700B7E"/>
    <w:rsid w:val="0075120A"/>
    <w:rsid w:val="00761EB4"/>
    <w:rsid w:val="007B38B2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214C5"/>
    <w:rsid w:val="00934AE7"/>
    <w:rsid w:val="00941932"/>
    <w:rsid w:val="00941945"/>
    <w:rsid w:val="00975284"/>
    <w:rsid w:val="009A36B4"/>
    <w:rsid w:val="009B1919"/>
    <w:rsid w:val="009B3B28"/>
    <w:rsid w:val="009D0F1E"/>
    <w:rsid w:val="009F349E"/>
    <w:rsid w:val="00A561AF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97DF5"/>
    <w:rsid w:val="00FC0A9F"/>
    <w:rsid w:val="028B3FFC"/>
    <w:rsid w:val="034E7EAE"/>
    <w:rsid w:val="04593BA8"/>
    <w:rsid w:val="0852F948"/>
    <w:rsid w:val="1CC120C4"/>
    <w:rsid w:val="1F0171DC"/>
    <w:rsid w:val="200D01B9"/>
    <w:rsid w:val="2A4E954C"/>
    <w:rsid w:val="32B02EF4"/>
    <w:rsid w:val="34AD3224"/>
    <w:rsid w:val="3F72D905"/>
    <w:rsid w:val="44836629"/>
    <w:rsid w:val="50B927A1"/>
    <w:rsid w:val="54C5255C"/>
    <w:rsid w:val="6E4B6C53"/>
    <w:rsid w:val="707072C3"/>
    <w:rsid w:val="71A19BED"/>
    <w:rsid w:val="73F49381"/>
    <w:rsid w:val="75DD0FFB"/>
    <w:rsid w:val="7801D6AB"/>
    <w:rsid w:val="7C758E8F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8DB02"/>
  <w15:docId w15:val="{180BA239-9284-4D48-A780-5039034CF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lir\Downloads\Talent%20Show%20Bill%20-%20GP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2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96900-84C3-4CCE-A68B-2BA9C5FCC3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Talent Show Bill - GPSA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Kristin Hommel</dc:creator>
  <lastModifiedBy>Miller, Lawrence R</lastModifiedBy>
  <revision>5</revision>
  <dcterms:created xsi:type="dcterms:W3CDTF">2024-02-06T02:38:00.0000000Z</dcterms:created>
  <dcterms:modified xsi:type="dcterms:W3CDTF">2024-02-28T22:08:52.0857951Z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