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4AD3224" w:rsidRDefault="7801D6AB" w14:paraId="5A058F7E" w14:textId="7D9F1452">
      <w:pPr>
        <w:suppressLineNumbers w:val="1"/>
        <w:jc w:val="center"/>
        <w:rPr>
          <w:rFonts w:ascii="Arial" w:hAnsi="Arial" w:eastAsia="Arial" w:cs="Arial"/>
        </w:rPr>
      </w:pPr>
      <w:r w:rsidRPr="4E495713" w:rsidR="7801D6AB">
        <w:rPr>
          <w:rFonts w:ascii="Arial" w:hAnsi="Arial" w:eastAsia="Arial" w:cs="Arial"/>
        </w:rPr>
        <w:t>Bill # 7</w:t>
      </w:r>
      <w:r w:rsidRPr="4E495713" w:rsidR="200D01B9">
        <w:rPr>
          <w:rFonts w:ascii="Arial" w:hAnsi="Arial" w:eastAsia="Arial" w:cs="Arial"/>
        </w:rPr>
        <w:t>3</w:t>
      </w:r>
      <w:r w:rsidRPr="4E495713" w:rsidR="7801D6AB">
        <w:rPr>
          <w:rFonts w:ascii="Arial" w:hAnsi="Arial" w:eastAsia="Arial" w:cs="Arial"/>
        </w:rPr>
        <w:t>-</w:t>
      </w:r>
      <w:r w:rsidRPr="4E495713" w:rsidR="2D30488B">
        <w:rPr>
          <w:rFonts w:ascii="Arial" w:hAnsi="Arial" w:eastAsia="Arial" w:cs="Arial"/>
        </w:rPr>
        <w:t>26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4E495713" w:rsidR="7801D6AB">
        <w:rPr>
          <w:rFonts w:ascii="Arial" w:hAnsi="Arial" w:eastAsia="Arial" w:cs="Arial"/>
          <w:b w:val="1"/>
          <w:bCs w:val="1"/>
        </w:rPr>
        <w:t>of the 7</w:t>
      </w:r>
      <w:r w:rsidRPr="4E495713" w:rsidR="44836629">
        <w:rPr>
          <w:rFonts w:ascii="Arial" w:hAnsi="Arial" w:eastAsia="Arial" w:cs="Arial"/>
          <w:b w:val="1"/>
          <w:bCs w:val="1"/>
        </w:rPr>
        <w:t>3rd</w:t>
      </w:r>
      <w:r w:rsidRPr="4E495713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294002F3" w:rsidP="4E495713" w:rsidRDefault="294002F3" w14:paraId="28BAD44F" w14:textId="4081C4D3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4E495713" w:rsidR="294002F3">
        <w:rPr>
          <w:rFonts w:ascii="Arial" w:hAnsi="Arial" w:eastAsia="Arial" w:cs="Arial"/>
        </w:rPr>
        <w:t>February 21, 2024</w:t>
      </w:r>
    </w:p>
    <w:p w:rsidRPr="00AC47AD" w:rsidR="000D0156" w:rsidP="34AD3224" w:rsidRDefault="000D0156" w14:paraId="6484ADBF" w14:textId="77777777" w14:noSpellErr="1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10A55BF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</w:rPr>
      </w:pPr>
      <w:r w:rsidRPr="34AD3224" w:rsidR="000D0156">
        <w:rPr>
          <w:rFonts w:ascii="Arial" w:hAnsi="Arial" w:eastAsia="Arial" w:cs="Arial"/>
          <w:i w:val="1"/>
          <w:iCs w:val="1"/>
        </w:rPr>
        <w:t>Be it decide</w:t>
      </w:r>
      <w:r w:rsidRPr="34AD3224" w:rsidR="00F074BA">
        <w:rPr>
          <w:rFonts w:ascii="Arial" w:hAnsi="Arial" w:eastAsia="Arial" w:cs="Arial"/>
          <w:i w:val="1"/>
          <w:iCs w:val="1"/>
        </w:rPr>
        <w:t>d by the Assembly</w:t>
      </w:r>
      <w:r w:rsidRPr="34AD3224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34AD3224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34AD3224" w:rsidRDefault="000D0156" w14:paraId="148866AB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12A26F74" w:rsidP="4E495713" w:rsidRDefault="12A26F74" w14:paraId="07D4D40D" w14:textId="6D95AF14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4E495713" w:rsidR="12A26F74">
        <w:rPr>
          <w:rFonts w:ascii="Arial" w:hAnsi="Arial" w:eastAsia="Arial" w:cs="Arial"/>
          <w:b w:val="1"/>
          <w:bCs w:val="1"/>
          <w:sz w:val="26"/>
          <w:szCs w:val="26"/>
        </w:rPr>
        <w:t>Pan-African Professional Alliance Co-Sponsorship</w:t>
      </w:r>
    </w:p>
    <w:p w:rsidR="12A26F74" w:rsidP="4E495713" w:rsidRDefault="12A26F74" w14:paraId="02D17BEF" w14:textId="5CB23AD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4E495713" w:rsidR="12A26F74">
        <w:rPr>
          <w:rFonts w:ascii="Arial" w:hAnsi="Arial" w:eastAsia="Arial" w:cs="Arial"/>
          <w:b w:val="1"/>
          <w:bCs w:val="1"/>
        </w:rPr>
        <w:t>Funding for Pan-African Professional Alliance 7</w:t>
      </w:r>
      <w:r w:rsidRPr="4E495713" w:rsidR="12A26F74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E495713" w:rsidR="12A26F74">
        <w:rPr>
          <w:rFonts w:ascii="Arial" w:hAnsi="Arial" w:eastAsia="Arial" w:cs="Arial"/>
          <w:b w:val="1"/>
          <w:bCs w:val="1"/>
        </w:rPr>
        <w:t xml:space="preserve"> Annual Conference</w:t>
      </w:r>
    </w:p>
    <w:p w:rsidRPr="00761EB4" w:rsidR="000D0156" w:rsidP="34AD3224" w:rsidRDefault="000D0156" w14:paraId="7C9E5064" w14:textId="67F399B7">
      <w:pPr>
        <w:suppressLineNumbers w:val="1"/>
        <w:jc w:val="center"/>
        <w:rPr>
          <w:rFonts w:ascii="Arial" w:hAnsi="Arial" w:eastAsia="Arial" w:cs="Arial"/>
        </w:rPr>
      </w:pPr>
      <w:r w:rsidRPr="67F060B0" w:rsidR="000D0156">
        <w:rPr>
          <w:rFonts w:ascii="Arial" w:hAnsi="Arial" w:eastAsia="Arial" w:cs="Arial"/>
        </w:rPr>
        <w:t>(Decided: [ Y</w:t>
      </w:r>
      <w:r w:rsidRPr="67F060B0" w:rsidR="000D0156">
        <w:rPr>
          <w:rFonts w:ascii="Arial" w:hAnsi="Arial" w:eastAsia="Arial" w:cs="Arial"/>
        </w:rPr>
        <w:t xml:space="preserve"> ]</w:t>
      </w:r>
      <w:r w:rsidRPr="67F060B0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65ABE766" w:rsidP="4E495713" w:rsidRDefault="65ABE766" w14:paraId="7899C5BB" w14:textId="7C43321C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5D740FB0" w:rsidR="65ABE766">
        <w:rPr>
          <w:rFonts w:ascii="Arial" w:hAnsi="Arial" w:eastAsia="Arial" w:cs="Arial"/>
        </w:rPr>
        <w:t xml:space="preserve">Pan-APA is a student-run organization for graduate students at Penn State that </w:t>
      </w:r>
      <w:r w:rsidRPr="5D740FB0" w:rsidR="65ABE766">
        <w:rPr>
          <w:rFonts w:ascii="Arial" w:hAnsi="Arial" w:eastAsia="Arial" w:cs="Arial"/>
        </w:rPr>
        <w:t>seeks</w:t>
      </w:r>
      <w:r w:rsidRPr="5D740FB0" w:rsidR="65ABE766">
        <w:rPr>
          <w:rFonts w:ascii="Arial" w:hAnsi="Arial" w:eastAsia="Arial" w:cs="Arial"/>
        </w:rPr>
        <w:t xml:space="preserve"> to foster connections between Africa and the diaspora, provide opportunities for international students to integrate into the university community, and support the professional and academic development of </w:t>
      </w:r>
      <w:r w:rsidRPr="5D740FB0" w:rsidR="1F89C18B">
        <w:rPr>
          <w:rFonts w:ascii="Arial" w:hAnsi="Arial" w:eastAsia="Arial" w:cs="Arial"/>
        </w:rPr>
        <w:t xml:space="preserve">its </w:t>
      </w:r>
      <w:r w:rsidRPr="5D740FB0" w:rsidR="65ABE766">
        <w:rPr>
          <w:rFonts w:ascii="Arial" w:hAnsi="Arial" w:eastAsia="Arial" w:cs="Arial"/>
        </w:rPr>
        <w:t xml:space="preserve">members. To achieve </w:t>
      </w:r>
      <w:r w:rsidRPr="5D740FB0" w:rsidR="0A189CA0">
        <w:rPr>
          <w:rFonts w:ascii="Arial" w:hAnsi="Arial" w:eastAsia="Arial" w:cs="Arial"/>
        </w:rPr>
        <w:t xml:space="preserve">their </w:t>
      </w:r>
      <w:r w:rsidRPr="5D740FB0" w:rsidR="65ABE766">
        <w:rPr>
          <w:rFonts w:ascii="Arial" w:hAnsi="Arial" w:eastAsia="Arial" w:cs="Arial"/>
        </w:rPr>
        <w:t xml:space="preserve">mission, </w:t>
      </w:r>
      <w:r w:rsidRPr="5D740FB0" w:rsidR="11B0222F">
        <w:rPr>
          <w:rFonts w:ascii="Arial" w:hAnsi="Arial" w:eastAsia="Arial" w:cs="Arial"/>
        </w:rPr>
        <w:t xml:space="preserve">they </w:t>
      </w:r>
      <w:r w:rsidRPr="5D740FB0" w:rsidR="65ABE766">
        <w:rPr>
          <w:rFonts w:ascii="Arial" w:hAnsi="Arial" w:eastAsia="Arial" w:cs="Arial"/>
        </w:rPr>
        <w:t xml:space="preserve">organize various events and activities including an annual conference where </w:t>
      </w:r>
      <w:r w:rsidRPr="5D740FB0" w:rsidR="090809E6">
        <w:rPr>
          <w:rFonts w:ascii="Arial" w:hAnsi="Arial" w:eastAsia="Arial" w:cs="Arial"/>
        </w:rPr>
        <w:t xml:space="preserve">they </w:t>
      </w:r>
      <w:r w:rsidRPr="5D740FB0" w:rsidR="65ABE766">
        <w:rPr>
          <w:rFonts w:ascii="Arial" w:hAnsi="Arial" w:eastAsia="Arial" w:cs="Arial"/>
        </w:rPr>
        <w:t>discuss issues relevant to Africa and the African Diaspora and actively engage in the solutions building process.</w:t>
      </w:r>
    </w:p>
    <w:p w:rsidR="4E495713" w:rsidP="4E495713" w:rsidRDefault="4E495713" w14:paraId="65897F95" w14:textId="1F6BD9B7">
      <w:pPr>
        <w:pStyle w:val="Normal"/>
        <w:jc w:val="both"/>
        <w:rPr>
          <w:rFonts w:ascii="Arial" w:hAnsi="Arial" w:eastAsia="Arial" w:cs="Arial"/>
        </w:rPr>
      </w:pPr>
    </w:p>
    <w:p w:rsidR="65ABE766" w:rsidP="5D740FB0" w:rsidRDefault="65ABE766" w14:paraId="20F6D6C1" w14:textId="7582C4D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</w:pPr>
      <w:r w:rsidRPr="5D740FB0" w:rsidR="3A9873C1">
        <w:rPr>
          <w:rFonts w:ascii="Arial" w:hAnsi="Arial" w:eastAsia="Arial" w:cs="Arial"/>
        </w:rPr>
        <w:t xml:space="preserve">The </w:t>
      </w:r>
      <w:r w:rsidRPr="5D740FB0" w:rsidR="65ABE766">
        <w:rPr>
          <w:rFonts w:ascii="Arial" w:hAnsi="Arial" w:eastAsia="Arial" w:cs="Arial"/>
        </w:rPr>
        <w:t xml:space="preserve">7th Annual conference scheduled for </w:t>
      </w:r>
      <w:r w:rsidRPr="5D740FB0" w:rsidR="65ABE766">
        <w:rPr>
          <w:rFonts w:ascii="Arial" w:hAnsi="Arial" w:eastAsia="Arial" w:cs="Arial"/>
          <w:b w:val="1"/>
          <w:bCs w:val="1"/>
        </w:rPr>
        <w:t>April 13th, 2024</w:t>
      </w:r>
      <w:r w:rsidRPr="5D740FB0" w:rsidR="65ABE766">
        <w:rPr>
          <w:rFonts w:ascii="Arial" w:hAnsi="Arial" w:eastAsia="Arial" w:cs="Arial"/>
        </w:rPr>
        <w:t xml:space="preserve">, has been themed </w:t>
      </w:r>
      <w:r w:rsidRPr="5D740FB0" w:rsidR="65ABE766">
        <w:rPr>
          <w:rFonts w:ascii="Arial" w:hAnsi="Arial" w:eastAsia="Arial" w:cs="Arial"/>
          <w:i w:val="1"/>
          <w:iCs w:val="1"/>
        </w:rPr>
        <w:t xml:space="preserve">“The African Renaissance: Leveraging </w:t>
      </w:r>
      <w:r w:rsidRPr="5D740FB0" w:rsidR="2450CC98">
        <w:rPr>
          <w:rFonts w:ascii="Arial" w:hAnsi="Arial" w:eastAsia="Arial" w:cs="Arial"/>
          <w:i w:val="1"/>
          <w:iCs w:val="1"/>
        </w:rPr>
        <w:t>Tradition for Global I</w:t>
      </w:r>
      <w:r w:rsidRPr="5D740FB0" w:rsidR="65ABE766">
        <w:rPr>
          <w:rFonts w:ascii="Arial" w:hAnsi="Arial" w:eastAsia="Arial" w:cs="Arial"/>
          <w:i w:val="1"/>
          <w:iCs w:val="1"/>
        </w:rPr>
        <w:t xml:space="preserve">nnovation, and </w:t>
      </w:r>
      <w:r w:rsidRPr="5D740FB0" w:rsidR="03A33F31">
        <w:rPr>
          <w:rFonts w:ascii="Arial" w:hAnsi="Arial" w:eastAsia="Arial" w:cs="Arial"/>
          <w:i w:val="1"/>
          <w:iCs w:val="1"/>
        </w:rPr>
        <w:t>S</w:t>
      </w:r>
      <w:r w:rsidRPr="5D740FB0" w:rsidR="65ABE766">
        <w:rPr>
          <w:rFonts w:ascii="Arial" w:hAnsi="Arial" w:eastAsia="Arial" w:cs="Arial"/>
          <w:i w:val="1"/>
          <w:iCs w:val="1"/>
        </w:rPr>
        <w:t>ustainability”</w:t>
      </w:r>
      <w:r w:rsidRPr="5D740FB0" w:rsidR="65ABE766">
        <w:rPr>
          <w:rFonts w:ascii="Arial" w:hAnsi="Arial" w:eastAsia="Arial" w:cs="Arial"/>
        </w:rPr>
        <w:t>. This year’s conference w</w:t>
      </w:r>
      <w:r w:rsidRPr="5D740FB0" w:rsidR="38809B31">
        <w:rPr>
          <w:rFonts w:ascii="Arial" w:hAnsi="Arial" w:eastAsia="Arial" w:cs="Arial"/>
        </w:rPr>
        <w:t xml:space="preserve">ill have a cultural night segment, sub-themed – African Night, where </w:t>
      </w:r>
      <w:r w:rsidRPr="5D740FB0" w:rsidR="38809B31">
        <w:rPr>
          <w:rFonts w:ascii="Arial" w:hAnsi="Arial" w:eastAsia="Arial" w:cs="Arial"/>
        </w:rPr>
        <w:t xml:space="preserve">Africa’s rich cultural heritage (food, clothing, and language) </w:t>
      </w:r>
      <w:r w:rsidRPr="5D740FB0" w:rsidR="581D613A">
        <w:rPr>
          <w:rFonts w:ascii="Arial" w:hAnsi="Arial" w:eastAsia="Arial" w:cs="Arial"/>
        </w:rPr>
        <w:t>will be</w:t>
      </w:r>
      <w:r w:rsidRPr="5D740FB0" w:rsidR="78CAEEA1">
        <w:rPr>
          <w:rFonts w:ascii="Arial" w:hAnsi="Arial" w:eastAsia="Arial" w:cs="Arial"/>
        </w:rPr>
        <w:t xml:space="preserve"> highlighted </w:t>
      </w:r>
      <w:r w:rsidRPr="5D740FB0" w:rsidR="38809B31">
        <w:rPr>
          <w:rFonts w:ascii="Arial" w:hAnsi="Arial" w:eastAsia="Arial" w:cs="Arial"/>
        </w:rPr>
        <w:t>across the University Park campus and</w:t>
      </w:r>
      <w:r w:rsidRPr="5D740FB0" w:rsidR="528199FE">
        <w:rPr>
          <w:rFonts w:ascii="Arial" w:hAnsi="Arial" w:eastAsia="Arial" w:cs="Arial"/>
        </w:rPr>
        <w:t xml:space="preserve"> </w:t>
      </w:r>
      <w:r w:rsidRPr="5D740FB0" w:rsidR="38809B31">
        <w:rPr>
          <w:rFonts w:ascii="Arial" w:hAnsi="Arial" w:eastAsia="Arial" w:cs="Arial"/>
        </w:rPr>
        <w:t>a competition about details about Africa and relationships across the globe</w:t>
      </w:r>
      <w:r w:rsidRPr="5D740FB0" w:rsidR="2CC104A4">
        <w:rPr>
          <w:rFonts w:ascii="Arial" w:hAnsi="Arial" w:eastAsia="Arial" w:cs="Arial"/>
        </w:rPr>
        <w:t xml:space="preserve"> </w:t>
      </w:r>
      <w:r w:rsidRPr="5D740FB0" w:rsidR="78C68590">
        <w:rPr>
          <w:rFonts w:ascii="Arial" w:hAnsi="Arial" w:eastAsia="Arial" w:cs="Arial"/>
        </w:rPr>
        <w:t>will be</w:t>
      </w:r>
      <w:r w:rsidRPr="5D740FB0" w:rsidR="2CC104A4">
        <w:rPr>
          <w:rFonts w:ascii="Arial" w:hAnsi="Arial" w:eastAsia="Arial" w:cs="Arial"/>
        </w:rPr>
        <w:t xml:space="preserve"> held</w:t>
      </w:r>
      <w:r w:rsidRPr="5D740FB0" w:rsidR="38809B31">
        <w:rPr>
          <w:rFonts w:ascii="Arial" w:hAnsi="Arial" w:eastAsia="Arial" w:cs="Arial"/>
        </w:rPr>
        <w:t xml:space="preserve">. The main conference spotlights the vital connection between tradition, innovation, and sustainability, with a special focus on the indispensable role of Africa's youth. </w:t>
      </w:r>
      <w:r w:rsidRPr="5D740FB0" w:rsidR="0FFEB907">
        <w:rPr>
          <w:rFonts w:ascii="Arial" w:hAnsi="Arial" w:eastAsia="Arial" w:cs="Arial"/>
        </w:rPr>
        <w:t xml:space="preserve">Pan-APA </w:t>
      </w:r>
      <w:r w:rsidRPr="5D740FB0" w:rsidR="38809B31">
        <w:rPr>
          <w:rFonts w:ascii="Arial" w:hAnsi="Arial" w:eastAsia="Arial" w:cs="Arial"/>
        </w:rPr>
        <w:t>intend</w:t>
      </w:r>
      <w:r w:rsidRPr="5D740FB0" w:rsidR="50F30A8A">
        <w:rPr>
          <w:rFonts w:ascii="Arial" w:hAnsi="Arial" w:eastAsia="Arial" w:cs="Arial"/>
        </w:rPr>
        <w:t>s</w:t>
      </w:r>
      <w:r w:rsidRPr="5D740FB0" w:rsidR="38809B31">
        <w:rPr>
          <w:rFonts w:ascii="Arial" w:hAnsi="Arial" w:eastAsia="Arial" w:cs="Arial"/>
        </w:rPr>
        <w:t xml:space="preserve"> to unite thought leaders, young visionaries, scholars, and cultural enthusiasts to discuss the dynamics of tradition and a progressive Africa with the </w:t>
      </w:r>
      <w:r w:rsidRPr="5D740FB0" w:rsidR="38809B31">
        <w:rPr>
          <w:rFonts w:ascii="Arial" w:hAnsi="Arial" w:eastAsia="Arial" w:cs="Arial"/>
        </w:rPr>
        <w:t>objective</w:t>
      </w:r>
      <w:r w:rsidRPr="5D740FB0" w:rsidR="65ABE766">
        <w:rPr>
          <w:rFonts w:ascii="Arial" w:hAnsi="Arial" w:eastAsia="Arial" w:cs="Arial"/>
        </w:rPr>
        <w:t xml:space="preserve"> of creating </w:t>
      </w:r>
      <w:r w:rsidRPr="5D740FB0" w:rsidR="65ABE766">
        <w:rPr>
          <w:rFonts w:ascii="Arial" w:hAnsi="Arial" w:eastAsia="Arial" w:cs="Arial"/>
        </w:rPr>
        <w:t>a</w:t>
      </w:r>
      <w:r w:rsidRPr="5D740FB0" w:rsidR="5407A6A0">
        <w:rPr>
          <w:rFonts w:ascii="Arial" w:hAnsi="Arial" w:eastAsia="Arial" w:cs="Arial"/>
        </w:rPr>
        <w:t>n</w:t>
      </w:r>
      <w:r w:rsidRPr="5D740FB0" w:rsidR="65ABE766">
        <w:rPr>
          <w:rFonts w:ascii="Arial" w:hAnsi="Arial" w:eastAsia="Arial" w:cs="Arial"/>
        </w:rPr>
        <w:t xml:space="preserve"> idea where youths </w:t>
      </w:r>
      <w:r w:rsidRPr="5D740FB0" w:rsidR="65ABE766">
        <w:rPr>
          <w:rFonts w:ascii="Arial" w:hAnsi="Arial" w:eastAsia="Arial" w:cs="Arial"/>
        </w:rPr>
        <w:t>leverage</w:t>
      </w:r>
      <w:r w:rsidRPr="5D740FB0" w:rsidR="65ABE766">
        <w:rPr>
          <w:rFonts w:ascii="Arial" w:hAnsi="Arial" w:eastAsia="Arial" w:cs="Arial"/>
        </w:rPr>
        <w:t xml:space="preserve"> on lessons from the past towards economic development, cultural preservation and nurturing sustainable development.</w:t>
      </w:r>
    </w:p>
    <w:p w:rsidR="4E495713" w:rsidP="4E495713" w:rsidRDefault="4E495713" w14:paraId="493C9448" w14:textId="569D9F57">
      <w:pPr>
        <w:pStyle w:val="Normal"/>
        <w:jc w:val="both"/>
        <w:rPr>
          <w:rFonts w:ascii="Arial" w:hAnsi="Arial" w:eastAsia="Arial" w:cs="Arial"/>
        </w:rPr>
      </w:pPr>
    </w:p>
    <w:p w:rsidR="65ABE766" w:rsidP="4E495713" w:rsidRDefault="65ABE766" w14:paraId="57FC133C" w14:textId="05EB3163">
      <w:pPr>
        <w:pStyle w:val="Normal"/>
        <w:jc w:val="both"/>
      </w:pPr>
      <w:r w:rsidRPr="5D740FB0" w:rsidR="376FD3D3">
        <w:rPr>
          <w:rFonts w:ascii="Arial" w:hAnsi="Arial" w:eastAsia="Arial" w:cs="Arial"/>
        </w:rPr>
        <w:t>Pan-APA is</w:t>
      </w:r>
      <w:r w:rsidRPr="5D740FB0" w:rsidR="65ABE766">
        <w:rPr>
          <w:rFonts w:ascii="Arial" w:hAnsi="Arial" w:eastAsia="Arial" w:cs="Arial"/>
        </w:rPr>
        <w:t xml:space="preserve"> expecting </w:t>
      </w:r>
      <w:r w:rsidRPr="5D740FB0" w:rsidR="66DAF4C4">
        <w:rPr>
          <w:rFonts w:ascii="Arial" w:hAnsi="Arial" w:eastAsia="Arial" w:cs="Arial"/>
        </w:rPr>
        <w:t xml:space="preserve">the </w:t>
      </w:r>
      <w:r w:rsidRPr="5D740FB0" w:rsidR="65ABE766">
        <w:rPr>
          <w:rFonts w:ascii="Arial" w:hAnsi="Arial" w:eastAsia="Arial" w:cs="Arial"/>
        </w:rPr>
        <w:t xml:space="preserve">conference to be a dynamic and enlightening event where </w:t>
      </w:r>
      <w:r w:rsidRPr="5D740FB0" w:rsidR="15047AF6">
        <w:rPr>
          <w:rFonts w:ascii="Arial" w:hAnsi="Arial" w:eastAsia="Arial" w:cs="Arial"/>
        </w:rPr>
        <w:t xml:space="preserve">they </w:t>
      </w:r>
      <w:r w:rsidRPr="5D740FB0" w:rsidR="65ABE766">
        <w:rPr>
          <w:rFonts w:ascii="Arial" w:hAnsi="Arial" w:eastAsia="Arial" w:cs="Arial"/>
        </w:rPr>
        <w:t xml:space="preserve">will have speakers with </w:t>
      </w:r>
      <w:r w:rsidRPr="5D740FB0" w:rsidR="65ABE766">
        <w:rPr>
          <w:rFonts w:ascii="Arial" w:hAnsi="Arial" w:eastAsia="Arial" w:cs="Arial"/>
        </w:rPr>
        <w:t>expertise</w:t>
      </w:r>
      <w:r w:rsidRPr="5D740FB0" w:rsidR="65ABE766">
        <w:rPr>
          <w:rFonts w:ascii="Arial" w:hAnsi="Arial" w:eastAsia="Arial" w:cs="Arial"/>
        </w:rPr>
        <w:t xml:space="preserve"> on development, panel discussions from various disciplines, and research presentations from graduate students.</w:t>
      </w:r>
    </w:p>
    <w:p w:rsidR="4E495713" w:rsidP="4E495713" w:rsidRDefault="4E495713" w14:paraId="10D48B8E" w14:textId="1649CC3B">
      <w:pPr>
        <w:pStyle w:val="Normal"/>
        <w:jc w:val="both"/>
        <w:rPr>
          <w:rFonts w:ascii="Arial" w:hAnsi="Arial" w:eastAsia="Arial" w:cs="Arial"/>
        </w:rPr>
      </w:pPr>
    </w:p>
    <w:p w:rsidR="6F3EAC6F" w:rsidP="4E495713" w:rsidRDefault="6F3EAC6F" w14:paraId="1D7C8160" w14:textId="5289B2F3">
      <w:pPr>
        <w:pStyle w:val="Normal"/>
        <w:jc w:val="both"/>
        <w:rPr>
          <w:rFonts w:ascii="Arial" w:hAnsi="Arial" w:eastAsia="Arial" w:cs="Arial"/>
        </w:rPr>
      </w:pPr>
      <w:r w:rsidRPr="4E495713" w:rsidR="6F3EAC6F">
        <w:rPr>
          <w:rFonts w:ascii="Arial" w:hAnsi="Arial" w:eastAsia="Arial" w:cs="Arial"/>
        </w:rPr>
        <w:t>The event</w:t>
      </w:r>
      <w:r w:rsidRPr="4E495713" w:rsidR="110FE614">
        <w:rPr>
          <w:rFonts w:ascii="Arial" w:hAnsi="Arial" w:eastAsia="Arial" w:cs="Arial"/>
        </w:rPr>
        <w:t>s</w:t>
      </w:r>
      <w:r w:rsidRPr="4E495713" w:rsidR="6F3EAC6F">
        <w:rPr>
          <w:rFonts w:ascii="Arial" w:hAnsi="Arial" w:eastAsia="Arial" w:cs="Arial"/>
        </w:rPr>
        <w:t xml:space="preserve"> </w:t>
      </w:r>
      <w:r w:rsidRPr="4E495713" w:rsidR="65ABE766">
        <w:rPr>
          <w:rFonts w:ascii="Arial" w:hAnsi="Arial" w:eastAsia="Arial" w:cs="Arial"/>
        </w:rPr>
        <w:t>will be advertised on Pan-APA social media pages, and</w:t>
      </w:r>
      <w:r w:rsidRPr="4E495713" w:rsidR="277CFB3D">
        <w:rPr>
          <w:rFonts w:ascii="Arial" w:hAnsi="Arial" w:eastAsia="Arial" w:cs="Arial"/>
        </w:rPr>
        <w:t xml:space="preserve"> websites. It will also be advertised through the Department of African Studies and Africana Research Center’s links. Poster advertisement at the HUB-Robeson Centre, and through Penn State Campus-wide Engagement Newsletter.</w:t>
      </w:r>
    </w:p>
    <w:p w:rsidR="4E495713" w:rsidP="4E495713" w:rsidRDefault="4E495713" w14:paraId="253752E9" w14:textId="47C5CAB6">
      <w:pPr>
        <w:pStyle w:val="Normal"/>
        <w:jc w:val="both"/>
        <w:rPr>
          <w:rFonts w:ascii="Arial" w:hAnsi="Arial" w:eastAsia="Arial" w:cs="Arial"/>
        </w:rPr>
      </w:pPr>
    </w:p>
    <w:p w:rsidR="7E38E52A" w:rsidP="4E495713" w:rsidRDefault="7E38E52A" w14:paraId="66A127DE" w14:textId="68ABC674">
      <w:pPr>
        <w:pStyle w:val="Normal"/>
        <w:jc w:val="both"/>
        <w:rPr>
          <w:rFonts w:ascii="Arial" w:hAnsi="Arial" w:eastAsia="Arial" w:cs="Arial"/>
        </w:rPr>
      </w:pPr>
      <w:r w:rsidRPr="4E495713" w:rsidR="7E38E52A">
        <w:rPr>
          <w:rFonts w:ascii="Arial" w:hAnsi="Arial" w:eastAsia="Arial" w:cs="Arial"/>
        </w:rPr>
        <w:t>There is no cost to attend the event.</w:t>
      </w:r>
    </w:p>
    <w:p w:rsidR="4E495713" w:rsidP="4E495713" w:rsidRDefault="4E495713" w14:paraId="68879A00" w14:textId="54E8008F">
      <w:pPr>
        <w:pStyle w:val="Normal"/>
        <w:jc w:val="both"/>
        <w:rPr>
          <w:rFonts w:ascii="Arial" w:hAnsi="Arial" w:eastAsia="Arial" w:cs="Arial"/>
        </w:rPr>
      </w:pP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7F5927" w14:paraId="647E8502" w14:textId="74A66CEC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F72D905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="3F72D905" w:rsidP="3F72D905" w:rsidRDefault="3F72D905" w14:paraId="09DE164A" w14:textId="4E24AD24">
      <w:pPr>
        <w:pStyle w:val="Normal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54F7B56C" w:rsidP="67F060B0" w:rsidRDefault="54F7B56C" w14:paraId="486D65C3" w14:textId="7CAA0C7E">
      <w:pPr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bookmarkStart w:name="_Int_hw9QZkBN" w:id="2027400503"/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Graduate and Professional Student Association agrees to co-sponsor the Pan-APA 7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Annual Conference 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amount of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</w:t>
      </w:r>
      <w:r w:rsidRPr="67F060B0" w:rsidR="3141A8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2000 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67F060B0" w:rsidR="505507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conference lunch and African Night dinn</w:t>
      </w: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er.</w:t>
      </w:r>
      <w:bookmarkEnd w:id="2027400503"/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7F060B0" w:rsidR="54F7B56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4E495713" w:rsidP="4E495713" w:rsidRDefault="4E495713" w14:paraId="4CFEF3E1" w14:textId="2342E2E7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7F5927" w:rsidP="34AD3224" w:rsidRDefault="007F5927" w14:paraId="6D7962D2" w14:textId="1DC1FE2A">
      <w:pPr>
        <w:jc w:val="both"/>
        <w:rPr>
          <w:rFonts w:ascii="Arial" w:hAnsi="Arial" w:eastAsia="Arial" w:cs="Arial"/>
          <w:color w:val="000000" w:themeColor="text1"/>
        </w:rPr>
      </w:pPr>
      <w:r w:rsidRPr="4E495713" w:rsidR="54F7B56C">
        <w:rPr>
          <w:rFonts w:ascii="Arial" w:hAnsi="Arial" w:eastAsia="Arial" w:cs="Arial"/>
          <w:color w:val="000000" w:themeColor="text1" w:themeTint="FF" w:themeShade="FF"/>
        </w:rPr>
        <w:t>An itemized budget is below:</w:t>
      </w:r>
    </w:p>
    <w:p w:rsidR="4E495713" w:rsidP="4E495713" w:rsidRDefault="4E495713" w14:paraId="6D433EC7" w14:textId="1116783E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3710"/>
        <w:gridCol w:w="1147"/>
        <w:gridCol w:w="1875"/>
        <w:gridCol w:w="1161"/>
      </w:tblGrid>
      <w:tr w:rsidR="4E495713" w:rsidTr="4E495713" w14:paraId="16690794">
        <w:trPr>
          <w:trHeight w:val="285"/>
        </w:trPr>
        <w:tc>
          <w:tcPr>
            <w:tcW w:w="1500" w:type="dxa"/>
            <w:tcMar/>
          </w:tcPr>
          <w:p w:rsidR="4E495713" w:rsidP="4E495713" w:rsidRDefault="4E495713" w14:paraId="383E6539" w14:textId="5775799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Store</w:t>
            </w:r>
          </w:p>
        </w:tc>
        <w:tc>
          <w:tcPr>
            <w:tcW w:w="3710" w:type="dxa"/>
            <w:tcMar/>
          </w:tcPr>
          <w:p w:rsidR="4E495713" w:rsidP="4E495713" w:rsidRDefault="4E495713" w14:paraId="5C3E633C" w14:textId="6935871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Item</w:t>
            </w:r>
          </w:p>
        </w:tc>
        <w:tc>
          <w:tcPr>
            <w:tcW w:w="1147" w:type="dxa"/>
            <w:tcMar/>
          </w:tcPr>
          <w:p w:rsidR="4E495713" w:rsidP="4E495713" w:rsidRDefault="4E495713" w14:paraId="427C9A5B" w14:textId="7003535F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Price</w:t>
            </w:r>
          </w:p>
        </w:tc>
        <w:tc>
          <w:tcPr>
            <w:tcW w:w="1875" w:type="dxa"/>
            <w:tcMar/>
          </w:tcPr>
          <w:p w:rsidR="4E495713" w:rsidP="4E495713" w:rsidRDefault="4E495713" w14:paraId="5D71693C" w14:textId="4D2428D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Number of Items</w:t>
            </w:r>
          </w:p>
        </w:tc>
        <w:tc>
          <w:tcPr>
            <w:tcW w:w="1161" w:type="dxa"/>
            <w:tcMar/>
          </w:tcPr>
          <w:p w:rsidR="4E495713" w:rsidP="4E495713" w:rsidRDefault="4E495713" w14:paraId="22F844B0" w14:textId="359E6BB4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Total</w:t>
            </w:r>
          </w:p>
        </w:tc>
      </w:tr>
      <w:tr w:rsidR="4E495713" w:rsidTr="4E495713" w14:paraId="76805600">
        <w:trPr>
          <w:trHeight w:val="285"/>
        </w:trPr>
        <w:tc>
          <w:tcPr>
            <w:tcW w:w="1500" w:type="dxa"/>
            <w:tcMar/>
          </w:tcPr>
          <w:p w:rsidR="4E495713" w:rsidP="4E495713" w:rsidRDefault="4E495713" w14:paraId="7369551E" w14:textId="48681FA3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Tasty Dishes</w:t>
            </w:r>
          </w:p>
        </w:tc>
        <w:tc>
          <w:tcPr>
            <w:tcW w:w="3710" w:type="dxa"/>
            <w:shd w:val="clear" w:color="auto" w:fill="FFFF00"/>
            <w:tcMar/>
          </w:tcPr>
          <w:p w:rsidR="4E495713" w:rsidP="4E495713" w:rsidRDefault="4E495713" w14:paraId="09BDC470" w14:textId="5718419A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Lunch</w:t>
            </w:r>
          </w:p>
        </w:tc>
        <w:tc>
          <w:tcPr>
            <w:tcW w:w="1147" w:type="dxa"/>
            <w:shd w:val="clear" w:color="auto" w:fill="FFFF00"/>
            <w:tcMar/>
          </w:tcPr>
          <w:p w:rsidR="4E495713" w:rsidP="4E495713" w:rsidRDefault="4E495713" w14:paraId="2830591D" w14:textId="461A0354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40</w:t>
            </w:r>
          </w:p>
        </w:tc>
        <w:tc>
          <w:tcPr>
            <w:tcW w:w="1875" w:type="dxa"/>
            <w:shd w:val="clear" w:color="auto" w:fill="FFFF00"/>
            <w:tcMar/>
          </w:tcPr>
          <w:p w:rsidR="4E495713" w:rsidP="4E495713" w:rsidRDefault="4E495713" w14:paraId="76F0F02F" w14:textId="00AC6E2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</w:t>
            </w:r>
          </w:p>
        </w:tc>
        <w:tc>
          <w:tcPr>
            <w:tcW w:w="1161" w:type="dxa"/>
            <w:shd w:val="clear" w:color="auto" w:fill="FFFF00"/>
            <w:tcMar/>
          </w:tcPr>
          <w:p w:rsidR="4E495713" w:rsidP="4E495713" w:rsidRDefault="4E495713" w14:paraId="7A867F85" w14:textId="2C35B4CE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4800</w:t>
            </w:r>
          </w:p>
        </w:tc>
      </w:tr>
      <w:tr w:rsidR="4E495713" w:rsidTr="4E495713" w14:paraId="167FC3EA">
        <w:trPr>
          <w:trHeight w:val="285"/>
        </w:trPr>
        <w:tc>
          <w:tcPr>
            <w:tcW w:w="1500" w:type="dxa"/>
            <w:tcMar/>
          </w:tcPr>
          <w:p w:rsidR="4E495713" w:rsidP="4E495713" w:rsidRDefault="4E495713" w14:paraId="366E755F" w14:textId="4FAB72D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710" w:type="dxa"/>
            <w:shd w:val="clear" w:color="auto" w:fill="FFFF00"/>
            <w:tcMar/>
          </w:tcPr>
          <w:p w:rsidR="565F648B" w:rsidP="4E495713" w:rsidRDefault="565F648B" w14:paraId="0EB25642" w14:textId="47551DD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565F64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Lunch </w:t>
            </w:r>
            <w:r w:rsidRPr="4E495713" w:rsidR="214D44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(delivery charge from vendor)</w:t>
            </w:r>
          </w:p>
        </w:tc>
        <w:tc>
          <w:tcPr>
            <w:tcW w:w="1147" w:type="dxa"/>
            <w:shd w:val="clear" w:color="auto" w:fill="FFFF00"/>
            <w:tcMar/>
          </w:tcPr>
          <w:p w:rsidR="214D4463" w:rsidP="4E495713" w:rsidRDefault="214D4463" w14:paraId="03A8E140" w14:textId="7E907B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214D44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300</w:t>
            </w:r>
          </w:p>
        </w:tc>
        <w:tc>
          <w:tcPr>
            <w:tcW w:w="1875" w:type="dxa"/>
            <w:shd w:val="clear" w:color="auto" w:fill="FFFF00"/>
            <w:tcMar/>
          </w:tcPr>
          <w:p w:rsidR="214D4463" w:rsidP="4E495713" w:rsidRDefault="214D4463" w14:paraId="238F3197" w14:textId="011FF4C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214D44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shd w:val="clear" w:color="auto" w:fill="FFFF00"/>
            <w:tcMar/>
          </w:tcPr>
          <w:p w:rsidR="565F648B" w:rsidP="4E495713" w:rsidRDefault="565F648B" w14:paraId="61488F22" w14:textId="04414A7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565F64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300</w:t>
            </w:r>
          </w:p>
        </w:tc>
      </w:tr>
      <w:tr w:rsidR="4E495713" w:rsidTr="4E495713" w14:paraId="52DE5864">
        <w:trPr>
          <w:trHeight w:val="285"/>
        </w:trPr>
        <w:tc>
          <w:tcPr>
            <w:tcW w:w="1500" w:type="dxa"/>
            <w:tcMar/>
          </w:tcPr>
          <w:p w:rsidR="4E495713" w:rsidP="4E495713" w:rsidRDefault="4E495713" w14:paraId="25412970" w14:textId="3EE31C0F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Tasty Dishes</w:t>
            </w:r>
          </w:p>
        </w:tc>
        <w:tc>
          <w:tcPr>
            <w:tcW w:w="3710" w:type="dxa"/>
            <w:shd w:val="clear" w:color="auto" w:fill="FFFF00"/>
            <w:tcMar/>
          </w:tcPr>
          <w:p w:rsidR="4E495713" w:rsidP="4E495713" w:rsidRDefault="4E495713" w14:paraId="66B585E7" w14:textId="1B9A3BF3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African Night Event</w:t>
            </w:r>
          </w:p>
        </w:tc>
        <w:tc>
          <w:tcPr>
            <w:tcW w:w="1147" w:type="dxa"/>
            <w:shd w:val="clear" w:color="auto" w:fill="FFFF00"/>
            <w:tcMar/>
          </w:tcPr>
          <w:p w:rsidR="4E495713" w:rsidP="4E495713" w:rsidRDefault="4E495713" w14:paraId="423555E4" w14:textId="3B7ABBC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40</w:t>
            </w:r>
          </w:p>
        </w:tc>
        <w:tc>
          <w:tcPr>
            <w:tcW w:w="1875" w:type="dxa"/>
            <w:shd w:val="clear" w:color="auto" w:fill="FFFF00"/>
            <w:tcMar/>
          </w:tcPr>
          <w:p w:rsidR="4E495713" w:rsidP="4E495713" w:rsidRDefault="4E495713" w14:paraId="261D34FD" w14:textId="173A2667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</w:t>
            </w:r>
          </w:p>
        </w:tc>
        <w:tc>
          <w:tcPr>
            <w:tcW w:w="1161" w:type="dxa"/>
            <w:shd w:val="clear" w:color="auto" w:fill="FFFF00"/>
            <w:tcMar/>
          </w:tcPr>
          <w:p w:rsidR="4E495713" w:rsidP="4E495713" w:rsidRDefault="4E495713" w14:paraId="6A276E03" w14:textId="68BDBBC3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4000</w:t>
            </w:r>
          </w:p>
        </w:tc>
      </w:tr>
      <w:tr w:rsidR="4E495713" w:rsidTr="4E495713" w14:paraId="1D9A1F74">
        <w:trPr>
          <w:trHeight w:val="285"/>
        </w:trPr>
        <w:tc>
          <w:tcPr>
            <w:tcW w:w="1500" w:type="dxa"/>
            <w:tcMar/>
          </w:tcPr>
          <w:p w:rsidR="4E495713" w:rsidRDefault="4E495713" w14:paraId="155B4DC1" w14:textId="03E39517"/>
        </w:tc>
        <w:tc>
          <w:tcPr>
            <w:tcW w:w="3710" w:type="dxa"/>
            <w:tcMar/>
          </w:tcPr>
          <w:p w:rsidR="4E495713" w:rsidP="4E495713" w:rsidRDefault="4E495713" w14:paraId="7BD76EEB" w14:textId="5AB0296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Pre-conference Dinner with Speaker/Advisor</w:t>
            </w:r>
          </w:p>
        </w:tc>
        <w:tc>
          <w:tcPr>
            <w:tcW w:w="1147" w:type="dxa"/>
            <w:tcMar/>
          </w:tcPr>
          <w:p w:rsidR="4E495713" w:rsidP="4E495713" w:rsidRDefault="4E495713" w14:paraId="65C0F14D" w14:textId="2E3E6B4E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500</w:t>
            </w:r>
          </w:p>
        </w:tc>
        <w:tc>
          <w:tcPr>
            <w:tcW w:w="1875" w:type="dxa"/>
            <w:tcMar/>
          </w:tcPr>
          <w:p w:rsidR="4E495713" w:rsidP="4E495713" w:rsidRDefault="4E495713" w14:paraId="32976293" w14:textId="213841EE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4D6EDC8D" w14:textId="7C1E4F1B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500</w:t>
            </w:r>
          </w:p>
        </w:tc>
      </w:tr>
      <w:tr w:rsidR="4E495713" w:rsidTr="4E495713" w14:paraId="6E719542">
        <w:trPr>
          <w:trHeight w:val="285"/>
        </w:trPr>
        <w:tc>
          <w:tcPr>
            <w:tcW w:w="1500" w:type="dxa"/>
            <w:tcMar/>
          </w:tcPr>
          <w:p w:rsidR="4E495713" w:rsidP="4E495713" w:rsidRDefault="4E495713" w14:paraId="4874FEFF" w14:textId="0C0B4555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Panera</w:t>
            </w:r>
          </w:p>
        </w:tc>
        <w:tc>
          <w:tcPr>
            <w:tcW w:w="3710" w:type="dxa"/>
            <w:tcMar/>
          </w:tcPr>
          <w:p w:rsidR="4E495713" w:rsidP="4E495713" w:rsidRDefault="4E495713" w14:paraId="1EF2E2A5" w14:textId="7A5454EB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Breakfast Conference</w:t>
            </w:r>
          </w:p>
        </w:tc>
        <w:tc>
          <w:tcPr>
            <w:tcW w:w="1147" w:type="dxa"/>
            <w:tcMar/>
          </w:tcPr>
          <w:p w:rsidR="4E495713" w:rsidP="4E495713" w:rsidRDefault="4E495713" w14:paraId="506D0D04" w14:textId="085FCC96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800</w:t>
            </w:r>
          </w:p>
        </w:tc>
        <w:tc>
          <w:tcPr>
            <w:tcW w:w="1875" w:type="dxa"/>
            <w:tcMar/>
          </w:tcPr>
          <w:p w:rsidR="4E495713" w:rsidP="4E495713" w:rsidRDefault="4E495713" w14:paraId="15891CE5" w14:textId="4B570703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0B915AB8" w14:textId="1E4EF194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800</w:t>
            </w:r>
          </w:p>
        </w:tc>
      </w:tr>
      <w:tr w:rsidR="4E495713" w:rsidTr="4E495713" w14:paraId="52DEA042">
        <w:trPr>
          <w:trHeight w:val="285"/>
        </w:trPr>
        <w:tc>
          <w:tcPr>
            <w:tcW w:w="1500" w:type="dxa"/>
            <w:tcMar/>
          </w:tcPr>
          <w:p w:rsidR="4E495713" w:rsidRDefault="4E495713" w14:paraId="1B0F1580" w14:textId="406E6A02"/>
        </w:tc>
        <w:tc>
          <w:tcPr>
            <w:tcW w:w="3710" w:type="dxa"/>
            <w:tcMar/>
          </w:tcPr>
          <w:p w:rsidR="4E495713" w:rsidP="4E495713" w:rsidRDefault="4E495713" w14:paraId="245EBEF1" w14:textId="20A13A8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Speaker</w:t>
            </w:r>
          </w:p>
        </w:tc>
        <w:tc>
          <w:tcPr>
            <w:tcW w:w="1147" w:type="dxa"/>
            <w:tcMar/>
          </w:tcPr>
          <w:p w:rsidR="4E495713" w:rsidP="4E495713" w:rsidRDefault="4E495713" w14:paraId="32F2E727" w14:textId="394E8F99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11400</w:t>
            </w:r>
          </w:p>
        </w:tc>
        <w:tc>
          <w:tcPr>
            <w:tcW w:w="1875" w:type="dxa"/>
            <w:tcMar/>
          </w:tcPr>
          <w:p w:rsidR="4E495713" w:rsidP="4E495713" w:rsidRDefault="4E495713" w14:paraId="143A3D18" w14:textId="7029591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7C5B46C1" w14:textId="568B54F1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11400</w:t>
            </w:r>
          </w:p>
        </w:tc>
      </w:tr>
      <w:tr w:rsidR="4E495713" w:rsidTr="4E495713" w14:paraId="4BEB49EE">
        <w:trPr>
          <w:trHeight w:val="285"/>
        </w:trPr>
        <w:tc>
          <w:tcPr>
            <w:tcW w:w="1500" w:type="dxa"/>
            <w:tcMar/>
          </w:tcPr>
          <w:p w:rsidR="4E495713" w:rsidRDefault="4E495713" w14:paraId="64F4FE59" w14:textId="30B60975"/>
        </w:tc>
        <w:tc>
          <w:tcPr>
            <w:tcW w:w="3710" w:type="dxa"/>
            <w:tcMar/>
          </w:tcPr>
          <w:p w:rsidR="4E495713" w:rsidP="4E495713" w:rsidRDefault="4E495713" w14:paraId="3B8D01BB" w14:textId="191DC72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Media &amp; Entertainment</w:t>
            </w:r>
          </w:p>
        </w:tc>
        <w:tc>
          <w:tcPr>
            <w:tcW w:w="1147" w:type="dxa"/>
            <w:tcMar/>
          </w:tcPr>
          <w:p w:rsidR="4E495713" w:rsidP="4E495713" w:rsidRDefault="4E495713" w14:paraId="7CC56283" w14:textId="4FC478B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4930</w:t>
            </w:r>
          </w:p>
        </w:tc>
        <w:tc>
          <w:tcPr>
            <w:tcW w:w="1875" w:type="dxa"/>
            <w:tcMar/>
          </w:tcPr>
          <w:p w:rsidR="4E495713" w:rsidP="4E495713" w:rsidRDefault="4E495713" w14:paraId="7D99C7D2" w14:textId="2997ED24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42CA0DDD" w14:textId="37B64F8B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4930</w:t>
            </w:r>
          </w:p>
        </w:tc>
      </w:tr>
      <w:tr w:rsidR="4E495713" w:rsidTr="4E495713" w14:paraId="56A95812">
        <w:trPr>
          <w:trHeight w:val="285"/>
        </w:trPr>
        <w:tc>
          <w:tcPr>
            <w:tcW w:w="1500" w:type="dxa"/>
            <w:tcMar/>
          </w:tcPr>
          <w:p w:rsidR="4E495713" w:rsidRDefault="4E495713" w14:paraId="2D145F73" w14:textId="4BFEA3E2"/>
        </w:tc>
        <w:tc>
          <w:tcPr>
            <w:tcW w:w="3710" w:type="dxa"/>
            <w:tcMar/>
          </w:tcPr>
          <w:p w:rsidR="4E495713" w:rsidP="4E495713" w:rsidRDefault="4E495713" w14:paraId="424944D3" w14:textId="00F98B8A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Service Items</w:t>
            </w:r>
          </w:p>
        </w:tc>
        <w:tc>
          <w:tcPr>
            <w:tcW w:w="1147" w:type="dxa"/>
            <w:tcMar/>
          </w:tcPr>
          <w:p w:rsidR="4E495713" w:rsidP="4E495713" w:rsidRDefault="4E495713" w14:paraId="6ACE8674" w14:textId="7B7BE0D6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8811.97</w:t>
            </w:r>
          </w:p>
        </w:tc>
        <w:tc>
          <w:tcPr>
            <w:tcW w:w="1875" w:type="dxa"/>
            <w:tcMar/>
          </w:tcPr>
          <w:p w:rsidR="4E495713" w:rsidP="4E495713" w:rsidRDefault="4E495713" w14:paraId="6628300F" w14:textId="317E9D68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3A98A226" w14:textId="5A4D85C2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8811.97</w:t>
            </w:r>
          </w:p>
        </w:tc>
      </w:tr>
      <w:tr w:rsidR="4E495713" w:rsidTr="4E495713" w14:paraId="3686FDA0">
        <w:trPr>
          <w:trHeight w:val="285"/>
        </w:trPr>
        <w:tc>
          <w:tcPr>
            <w:tcW w:w="1500" w:type="dxa"/>
            <w:tcMar/>
          </w:tcPr>
          <w:p w:rsidR="4E495713" w:rsidRDefault="4E495713" w14:paraId="3B13E1DF" w14:textId="35B3F882"/>
        </w:tc>
        <w:tc>
          <w:tcPr>
            <w:tcW w:w="3710" w:type="dxa"/>
            <w:tcMar/>
          </w:tcPr>
          <w:p w:rsidR="4E495713" w:rsidP="4E495713" w:rsidRDefault="4E495713" w14:paraId="34B5AAFC" w14:textId="1C9348E2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Facility</w:t>
            </w:r>
          </w:p>
        </w:tc>
        <w:tc>
          <w:tcPr>
            <w:tcW w:w="1147" w:type="dxa"/>
            <w:tcMar/>
          </w:tcPr>
          <w:p w:rsidR="4E495713" w:rsidP="4E495713" w:rsidRDefault="4E495713" w14:paraId="76996C5C" w14:textId="33DF2D46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5022.71</w:t>
            </w:r>
          </w:p>
        </w:tc>
        <w:tc>
          <w:tcPr>
            <w:tcW w:w="1875" w:type="dxa"/>
            <w:tcMar/>
          </w:tcPr>
          <w:p w:rsidR="4E495713" w:rsidP="4E495713" w:rsidRDefault="4E495713" w14:paraId="41EDAED6" w14:textId="6C1774D0">
            <w:pPr>
              <w:spacing w:before="0" w:beforeAutospacing="off" w:after="0" w:afterAutospacing="off"/>
              <w:ind w:left="-20" w:right="-20"/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61" w:type="dxa"/>
            <w:tcMar/>
          </w:tcPr>
          <w:p w:rsidR="4E495713" w:rsidP="4E495713" w:rsidRDefault="4E495713" w14:paraId="0895212F" w14:textId="0F59FA97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E495713" w:rsidR="4E495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5022.71</w:t>
            </w:r>
          </w:p>
        </w:tc>
      </w:tr>
    </w:tbl>
    <w:p w:rsidR="4E495713" w:rsidP="4E495713" w:rsidRDefault="4E495713" w14:paraId="61C8CAFD" w14:textId="517B6D6B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4E495713" w:rsidP="4E495713" w:rsidRDefault="4E495713" w14:paraId="76C7220C" w14:textId="02588AB4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54F7B56C" w:rsidP="67F060B0" w:rsidRDefault="54F7B56C" w14:paraId="27E0ACBB" w14:textId="163EBC3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F060B0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requested from GPSA: $</w:t>
      </w:r>
      <w:r w:rsidRPr="67F060B0" w:rsidR="2691E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2000</w:t>
      </w:r>
    </w:p>
    <w:p w:rsidR="54F7B56C" w:rsidP="4E495713" w:rsidRDefault="54F7B56C" w14:paraId="39ED9B53" w14:textId="737C8696">
      <w:pPr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95713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cost of event: $</w:t>
      </w:r>
      <w:r w:rsidRPr="4E495713" w:rsidR="0E302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4E495713" w:rsidR="54F7B5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4E495713" w:rsidR="2968DC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E495713" w:rsidR="0E302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64.68</w:t>
      </w:r>
    </w:p>
    <w:p w:rsidR="4E495713" w:rsidP="4E495713" w:rsidRDefault="4E495713" w14:paraId="6CF05A60" w14:textId="35D7072D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4E495713" w:rsidP="4E495713" w:rsidRDefault="4E495713" w14:paraId="3E0E3DD0" w14:textId="5EAF509B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5ACBE094" w:rsidP="4E495713" w:rsidRDefault="5ACBE094" w14:paraId="3207954F" w14:textId="6C1012C6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E495713" w:rsidR="5ACBE094">
        <w:rPr>
          <w:rFonts w:ascii="Arial" w:hAnsi="Arial" w:eastAsia="Arial" w:cs="Arial"/>
          <w:color w:val="000000" w:themeColor="text1" w:themeTint="FF" w:themeShade="FF"/>
        </w:rPr>
        <w:t>Other requests:</w:t>
      </w:r>
    </w:p>
    <w:p w:rsidR="5ACBE094" w:rsidP="4ADC87C1" w:rsidRDefault="5ACBE094" w14:paraId="3E7A2A91" w14:textId="21959352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ADC87C1" w:rsidR="5ACBE09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UPAC</w:t>
      </w:r>
      <w:r w:rsidRPr="4ADC87C1" w:rsidR="5ACBE09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: </w:t>
      </w:r>
      <w:r w:rsidRPr="4ADC87C1" w:rsidR="5E3239D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Approved $20,074 </w:t>
      </w:r>
    </w:p>
    <w:p w:rsidR="3EBA008E" w:rsidP="4E495713" w:rsidRDefault="3EBA008E" w14:paraId="17A8C427" w14:textId="74DB67D4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ADC87C1" w:rsidR="5ACBE09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Global Programs: </w:t>
      </w:r>
      <w:r w:rsidRPr="4ADC87C1" w:rsidR="4EC4237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Approved $1000 for food</w:t>
      </w:r>
    </w:p>
    <w:p w:rsidR="3EBA008E" w:rsidP="4E495713" w:rsidRDefault="3EBA008E" w14:paraId="07279EF4" w14:textId="24053F11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9830BE0" w:rsidR="3EBA00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Office of Educational Equity: </w:t>
      </w:r>
      <w:r w:rsidRPr="09830BE0" w:rsidR="3716E94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Approved for $2500</w:t>
      </w:r>
    </w:p>
    <w:p w:rsidR="3EBA008E" w:rsidP="4E495713" w:rsidRDefault="3EBA008E" w14:paraId="31D7987E" w14:textId="3817B0CD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ADC87C1" w:rsidR="3EBA00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Africana Research Cent</w:t>
      </w:r>
      <w:r w:rsidRPr="4ADC87C1" w:rsidR="68B3520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er</w:t>
      </w:r>
      <w:r w:rsidRPr="4ADC87C1" w:rsidR="3EBA00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</w:t>
      </w:r>
      <w:r w:rsidRPr="4ADC87C1" w:rsidR="42A46BC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Funding for speakers</w:t>
      </w:r>
      <w:r w:rsidRPr="4ADC87C1" w:rsidR="3EBA00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="3EBA008E" w:rsidP="4E495713" w:rsidRDefault="3EBA008E" w14:paraId="2923D5E1" w14:textId="242548CE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ADC87C1" w:rsidR="3EBA00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Rock Institute: </w:t>
      </w:r>
      <w:r w:rsidRPr="4ADC87C1" w:rsidR="3EBA008E">
        <w:rPr>
          <w:rFonts w:ascii="Arial" w:hAnsi="Arial" w:eastAsia="Arial" w:cs="Arial"/>
          <w:color w:val="FF0000"/>
          <w:sz w:val="22"/>
          <w:szCs w:val="22"/>
        </w:rPr>
        <w:t xml:space="preserve">They have </w:t>
      </w:r>
      <w:r w:rsidRPr="4ADC87C1" w:rsidR="3EBA008E">
        <w:rPr>
          <w:rFonts w:ascii="Arial" w:hAnsi="Arial" w:eastAsia="Arial" w:cs="Arial"/>
          <w:b w:val="1"/>
          <w:bCs w:val="1"/>
          <w:color w:val="FF0000"/>
          <w:sz w:val="22"/>
          <w:szCs w:val="22"/>
        </w:rPr>
        <w:t xml:space="preserve">not </w:t>
      </w:r>
      <w:r w:rsidRPr="4ADC87C1" w:rsidR="3EBA008E">
        <w:rPr>
          <w:rFonts w:ascii="Arial" w:hAnsi="Arial" w:eastAsia="Arial" w:cs="Arial"/>
          <w:color w:val="FF0000"/>
          <w:sz w:val="22"/>
          <w:szCs w:val="22"/>
        </w:rPr>
        <w:t>received a decision on funding.</w:t>
      </w:r>
    </w:p>
    <w:p w:rsidRPr="00761EB4" w:rsidR="007F5927" w:rsidP="34AD3224" w:rsidRDefault="007F5927" w14:paraId="73FFB4FD" w14:textId="77777777" w14:noSpellErr="1">
      <w:pPr>
        <w:tabs>
          <w:tab w:val="left" w:pos="2320"/>
        </w:tabs>
        <w:jc w:val="both"/>
        <w:rPr>
          <w:rFonts w:ascii="Arial" w:hAnsi="Arial" w:eastAsia="Arial" w:cs="Arial"/>
          <w:color w:val="000000" w:themeColor="text1"/>
        </w:rPr>
      </w:pPr>
      <w:r w:rsidRPr="00761EB4">
        <w:rPr>
          <w:rFonts w:asciiTheme="majorHAnsi" w:hAnsiTheme="majorHAnsi" w:cstheme="majorHAnsi"/>
          <w:color w:val="000000" w:themeColor="text1"/>
          <w:szCs w:val="22"/>
        </w:rPr>
        <w:tab/>
      </w: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34AE7CB0" w:rsidP="4E495713" w:rsidRDefault="34AE7CB0" w14:paraId="0DAE740D" w14:textId="55A73F76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95713" w:rsidR="34AE7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 Ogidigben</w:t>
      </w:r>
    </w:p>
    <w:p w:rsidR="34AE7CB0" w:rsidP="4E495713" w:rsidRDefault="34AE7CB0" w14:paraId="2CC4283F" w14:textId="05BD4A36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95713" w:rsidR="34AE7C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Delegate, College of Engineering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w9QZkBN" int2:invalidationBookmarkName="" int2:hashCode="h7LcYmAhyUMAFS" int2:id="MqWnT1w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cccb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9FB6FC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D4DB74"/>
    <w:rsid w:val="03A33F31"/>
    <w:rsid w:val="04593BA8"/>
    <w:rsid w:val="05023C63"/>
    <w:rsid w:val="0852F948"/>
    <w:rsid w:val="090809E6"/>
    <w:rsid w:val="09830BE0"/>
    <w:rsid w:val="0A189CA0"/>
    <w:rsid w:val="0D503D62"/>
    <w:rsid w:val="0E1A3998"/>
    <w:rsid w:val="0E302F64"/>
    <w:rsid w:val="0FE1215E"/>
    <w:rsid w:val="0FFEB907"/>
    <w:rsid w:val="104CDC90"/>
    <w:rsid w:val="110FE614"/>
    <w:rsid w:val="11B0222F"/>
    <w:rsid w:val="11E8ACF1"/>
    <w:rsid w:val="12A26F74"/>
    <w:rsid w:val="137C8FCC"/>
    <w:rsid w:val="13847D52"/>
    <w:rsid w:val="15047AF6"/>
    <w:rsid w:val="1518602D"/>
    <w:rsid w:val="15204DB3"/>
    <w:rsid w:val="1934DB58"/>
    <w:rsid w:val="1D2B5F98"/>
    <w:rsid w:val="1F89C18B"/>
    <w:rsid w:val="200D01B9"/>
    <w:rsid w:val="214D4463"/>
    <w:rsid w:val="22109003"/>
    <w:rsid w:val="2450CC98"/>
    <w:rsid w:val="2691EB89"/>
    <w:rsid w:val="277CFB3D"/>
    <w:rsid w:val="27ACDC74"/>
    <w:rsid w:val="27D99C8D"/>
    <w:rsid w:val="294002F3"/>
    <w:rsid w:val="2968DC7E"/>
    <w:rsid w:val="2A4E954C"/>
    <w:rsid w:val="2CC104A4"/>
    <w:rsid w:val="2D30488B"/>
    <w:rsid w:val="2FB7EE59"/>
    <w:rsid w:val="3141A82B"/>
    <w:rsid w:val="348B5F7C"/>
    <w:rsid w:val="34AD3224"/>
    <w:rsid w:val="34AE7CB0"/>
    <w:rsid w:val="35684C5F"/>
    <w:rsid w:val="358930B4"/>
    <w:rsid w:val="37041CC0"/>
    <w:rsid w:val="37041CC0"/>
    <w:rsid w:val="3716E94B"/>
    <w:rsid w:val="376FD3D3"/>
    <w:rsid w:val="38809B31"/>
    <w:rsid w:val="3A9873C1"/>
    <w:rsid w:val="3EBA008E"/>
    <w:rsid w:val="3F72D905"/>
    <w:rsid w:val="42A46BC6"/>
    <w:rsid w:val="42BE1D6A"/>
    <w:rsid w:val="44061201"/>
    <w:rsid w:val="444ADD51"/>
    <w:rsid w:val="44836629"/>
    <w:rsid w:val="4ADC87C1"/>
    <w:rsid w:val="4E495713"/>
    <w:rsid w:val="4EC42377"/>
    <w:rsid w:val="50550760"/>
    <w:rsid w:val="50B927A1"/>
    <w:rsid w:val="50F30A8A"/>
    <w:rsid w:val="526B00E2"/>
    <w:rsid w:val="528199FE"/>
    <w:rsid w:val="53F67145"/>
    <w:rsid w:val="5407A6A0"/>
    <w:rsid w:val="542B1EE4"/>
    <w:rsid w:val="54F7B56C"/>
    <w:rsid w:val="563E408B"/>
    <w:rsid w:val="565F648B"/>
    <w:rsid w:val="5762BFA6"/>
    <w:rsid w:val="5762BFA6"/>
    <w:rsid w:val="581D613A"/>
    <w:rsid w:val="59EE56EB"/>
    <w:rsid w:val="59FE03FE"/>
    <w:rsid w:val="5A3C6EEE"/>
    <w:rsid w:val="5ACBE094"/>
    <w:rsid w:val="5BD83F4F"/>
    <w:rsid w:val="5D740FB0"/>
    <w:rsid w:val="5E3239D3"/>
    <w:rsid w:val="5F411172"/>
    <w:rsid w:val="64B99A21"/>
    <w:rsid w:val="65ABE766"/>
    <w:rsid w:val="65B052F6"/>
    <w:rsid w:val="66DAF4C4"/>
    <w:rsid w:val="67F060B0"/>
    <w:rsid w:val="68B35204"/>
    <w:rsid w:val="6915753E"/>
    <w:rsid w:val="6A83C419"/>
    <w:rsid w:val="6C1F947A"/>
    <w:rsid w:val="6DBB64DB"/>
    <w:rsid w:val="6E06FD9F"/>
    <w:rsid w:val="6E4B6C53"/>
    <w:rsid w:val="6F3EAC6F"/>
    <w:rsid w:val="707072C3"/>
    <w:rsid w:val="7285EC59"/>
    <w:rsid w:val="7285EC59"/>
    <w:rsid w:val="72B89CBB"/>
    <w:rsid w:val="73F49381"/>
    <w:rsid w:val="75DD0FFB"/>
    <w:rsid w:val="75F55326"/>
    <w:rsid w:val="7801D6AB"/>
    <w:rsid w:val="78C68590"/>
    <w:rsid w:val="78CAEEA1"/>
    <w:rsid w:val="7937AAF7"/>
    <w:rsid w:val="7AD50163"/>
    <w:rsid w:val="7E342B81"/>
    <w:rsid w:val="7E38E52A"/>
    <w:rsid w:val="7EAD52E3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Relationship Type="http://schemas.microsoft.com/office/2020/10/relationships/intelligence" Target="intelligence2.xml" Id="Ra7bf038e602740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5AA632-7859-469E-83FC-802A9D9B1153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24</revision>
  <dcterms:created xsi:type="dcterms:W3CDTF">2017-06-25T20:11:00.0000000Z</dcterms:created>
  <dcterms:modified xsi:type="dcterms:W3CDTF">2024-03-21T00:05:48.1827640Z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